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FDE1D" w14:textId="38363DE9" w:rsidR="004025E4" w:rsidRDefault="00000000" w:rsidP="00BC2BD5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Supplementary </w:t>
      </w:r>
      <w:r>
        <w:rPr>
          <w:rFonts w:ascii="Times New Roman" w:hAnsi="Times New Roman" w:cs="Times New Roman" w:hint="eastAsia"/>
          <w:sz w:val="36"/>
          <w:szCs w:val="36"/>
        </w:rPr>
        <w:t>Materials</w:t>
      </w:r>
    </w:p>
    <w:p w14:paraId="151B53A0" w14:textId="542C7C49" w:rsidR="00434A5A" w:rsidRDefault="00FC7313" w:rsidP="00003CAD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/>
          <w:noProof/>
        </w:rPr>
        <w:drawing>
          <wp:inline distT="0" distB="0" distL="0" distR="0" wp14:anchorId="35151434" wp14:editId="65E0936A">
            <wp:extent cx="6188710" cy="6656705"/>
            <wp:effectExtent l="0" t="0" r="2540" b="0"/>
            <wp:docPr id="8658060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65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4A5A">
        <w:rPr>
          <w:rFonts w:ascii="Times New Roman" w:hAnsi="Times New Roman" w:cs="Times New Roman" w:hint="eastAsia"/>
          <w:b/>
          <w:bCs/>
          <w:szCs w:val="21"/>
        </w:rPr>
        <w:t xml:space="preserve"> </w:t>
      </w:r>
    </w:p>
    <w:p w14:paraId="1E368253" w14:textId="07D8EFBC" w:rsidR="004025E4" w:rsidRPr="00261828" w:rsidRDefault="00000000" w:rsidP="00261828">
      <w:pPr>
        <w:spacing w:beforeLines="50" w:before="156" w:afterLines="50" w:after="156" w:line="360" w:lineRule="auto"/>
        <w:rPr>
          <w:rFonts w:ascii="Times New Roman" w:hAnsi="Times New Roman"/>
        </w:rPr>
      </w:pPr>
      <w:r>
        <w:rPr>
          <w:rFonts w:ascii="Times New Roman" w:hAnsi="Times New Roman" w:cs="Times New Roman" w:hint="eastAsia"/>
          <w:b/>
          <w:bCs/>
          <w:szCs w:val="21"/>
        </w:rPr>
        <w:t>Fig. S1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003CAD" w:rsidRPr="008B1C25">
        <w:rPr>
          <w:rFonts w:ascii="Times New Roman" w:hAnsi="Times New Roman"/>
          <w:b/>
          <w:bCs/>
        </w:rPr>
        <w:t>Quality control and comparative profiling of cell type composition across CHIKV-related cohorts.</w:t>
      </w:r>
      <w:r w:rsidR="00003CAD" w:rsidRPr="00003CAD">
        <w:rPr>
          <w:rFonts w:ascii="Times New Roman" w:hAnsi="Times New Roman"/>
        </w:rPr>
        <w:t xml:space="preserve"> </w:t>
      </w:r>
      <w:r w:rsidR="00003CAD" w:rsidRPr="00003CAD">
        <w:rPr>
          <w:rFonts w:ascii="Times New Roman" w:hAnsi="Times New Roman"/>
          <w:b/>
          <w:bCs/>
        </w:rPr>
        <w:t>a</w:t>
      </w:r>
      <w:r w:rsidR="00003CAD" w:rsidRPr="00003CAD">
        <w:rPr>
          <w:rFonts w:ascii="Times New Roman" w:hAnsi="Times New Roman"/>
        </w:rPr>
        <w:t xml:space="preserve"> Violin plots displaying the distribution of three core scRNA-seq quality control metrics: number of detected genes (nFeature_RNA), total UMI counts (nCount_RNA), and percentage of mitochondrial genes (percent.mt), across experimental groups. </w:t>
      </w:r>
      <w:r w:rsidR="00003CAD" w:rsidRPr="00003CAD">
        <w:rPr>
          <w:rFonts w:ascii="Times New Roman" w:hAnsi="Times New Roman"/>
          <w:b/>
          <w:bCs/>
        </w:rPr>
        <w:t>b</w:t>
      </w:r>
      <w:r w:rsidR="00003CAD" w:rsidRPr="00003CAD">
        <w:rPr>
          <w:rFonts w:ascii="Times New Roman" w:hAnsi="Times New Roman"/>
        </w:rPr>
        <w:t xml:space="preserve"> Sample-specific t-SNE plots of single-cell clustering results, with cells colored by the 12 </w:t>
      </w:r>
      <w:r w:rsidR="00003CAD" w:rsidRPr="00003CAD">
        <w:rPr>
          <w:rFonts w:ascii="Times New Roman" w:hAnsi="Times New Roman"/>
        </w:rPr>
        <w:lastRenderedPageBreak/>
        <w:t xml:space="preserve">annotated cell types. </w:t>
      </w:r>
      <w:r w:rsidR="00003CAD" w:rsidRPr="00003CAD">
        <w:rPr>
          <w:rFonts w:ascii="Times New Roman" w:hAnsi="Times New Roman"/>
          <w:b/>
          <w:bCs/>
        </w:rPr>
        <w:t>c</w:t>
      </w:r>
      <w:r w:rsidR="00003CAD" w:rsidRPr="00003CAD">
        <w:rPr>
          <w:rFonts w:ascii="Times New Roman" w:hAnsi="Times New Roman"/>
        </w:rPr>
        <w:t xml:space="preserve"> Stacked bar plots illustrating the proportion of each annotated cell type in each sample, grouped by cohort status. </w:t>
      </w:r>
      <w:r w:rsidR="00003CAD" w:rsidRPr="00003CAD">
        <w:rPr>
          <w:rFonts w:ascii="Times New Roman" w:hAnsi="Times New Roman"/>
          <w:b/>
          <w:bCs/>
        </w:rPr>
        <w:t>d</w:t>
      </w:r>
      <w:r w:rsidR="00003CAD" w:rsidRPr="00003CAD">
        <w:rPr>
          <w:rFonts w:ascii="Times New Roman" w:hAnsi="Times New Roman"/>
        </w:rPr>
        <w:t xml:space="preserve"> Bar plot depicting the total cell count for each annotated cell type, integrated across all samples.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3267AC" w14:textId="1A5AE99C" w:rsidR="004025E4" w:rsidRDefault="00FC7313">
      <w:pPr>
        <w:spacing w:beforeLines="50" w:before="156" w:afterLines="50" w:after="156" w:line="360" w:lineRule="auto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5D9E616C" wp14:editId="6E705101">
            <wp:extent cx="6188710" cy="7651115"/>
            <wp:effectExtent l="0" t="0" r="2540" b="6985"/>
            <wp:docPr id="20571598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765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A5AA1" w14:textId="0CF93990" w:rsidR="004025E4" w:rsidRPr="00261828" w:rsidRDefault="00000000" w:rsidP="00261828">
      <w:pPr>
        <w:spacing w:beforeLines="50" w:before="156" w:afterLines="50" w:after="156"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Fig. S2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2E5CC7" w:rsidRPr="002E5CC7">
        <w:rPr>
          <w:rFonts w:ascii="Times New Roman" w:hAnsi="Times New Roman" w:cs="Times New Roman"/>
          <w:b/>
          <w:bCs/>
          <w:szCs w:val="21"/>
        </w:rPr>
        <w:t>Immune cell composition, functional enrichment, and signaling network dynamics during CHIKV A</w:t>
      </w:r>
      <w:r w:rsidR="000A29BC">
        <w:rPr>
          <w:rFonts w:ascii="Times New Roman" w:hAnsi="Times New Roman" w:cs="Times New Roman" w:hint="eastAsia"/>
          <w:b/>
          <w:bCs/>
          <w:szCs w:val="21"/>
        </w:rPr>
        <w:t>-</w:t>
      </w:r>
      <w:r w:rsidR="002E5CC7" w:rsidRPr="002E5CC7">
        <w:rPr>
          <w:rFonts w:ascii="Times New Roman" w:hAnsi="Times New Roman" w:cs="Times New Roman"/>
          <w:b/>
          <w:bCs/>
          <w:szCs w:val="21"/>
        </w:rPr>
        <w:t>infection.</w:t>
      </w:r>
      <w:r w:rsidR="002E5CC7" w:rsidRPr="002E5CC7">
        <w:rPr>
          <w:rFonts w:ascii="Times New Roman" w:hAnsi="Times New Roman" w:cs="Times New Roman"/>
          <w:szCs w:val="21"/>
        </w:rPr>
        <w:t xml:space="preserve"> </w:t>
      </w:r>
      <w:r w:rsidR="002E5CC7" w:rsidRPr="00F010DE">
        <w:rPr>
          <w:rFonts w:ascii="Times New Roman" w:hAnsi="Times New Roman" w:cs="Times New Roman"/>
          <w:b/>
          <w:bCs/>
          <w:szCs w:val="21"/>
        </w:rPr>
        <w:t>a</w:t>
      </w:r>
      <w:r w:rsidR="002E5CC7" w:rsidRPr="002E5CC7">
        <w:rPr>
          <w:rFonts w:ascii="Times New Roman" w:hAnsi="Times New Roman" w:cs="Times New Roman"/>
          <w:szCs w:val="21"/>
        </w:rPr>
        <w:t xml:space="preserve"> Violin plots displaying the proportion (%) of 12 distinct immune cell subsets. </w:t>
      </w:r>
      <w:r w:rsidR="002E5CC7" w:rsidRPr="00F010DE">
        <w:rPr>
          <w:rFonts w:ascii="Times New Roman" w:hAnsi="Times New Roman" w:cs="Times New Roman"/>
          <w:b/>
          <w:bCs/>
          <w:szCs w:val="21"/>
        </w:rPr>
        <w:t>b</w:t>
      </w:r>
      <w:r w:rsidR="002E5CC7" w:rsidRPr="002E5CC7">
        <w:rPr>
          <w:rFonts w:ascii="Times New Roman" w:hAnsi="Times New Roman" w:cs="Times New Roman"/>
          <w:szCs w:val="21"/>
        </w:rPr>
        <w:t xml:space="preserve"> Hierarchical tree plot of GO enrichment analysis for down-regulated DEGs. </w:t>
      </w:r>
      <w:r w:rsidR="002E5CC7" w:rsidRPr="00F010DE">
        <w:rPr>
          <w:rFonts w:ascii="Times New Roman" w:hAnsi="Times New Roman" w:cs="Times New Roman"/>
          <w:b/>
          <w:bCs/>
          <w:szCs w:val="21"/>
        </w:rPr>
        <w:t>c</w:t>
      </w:r>
      <w:r w:rsidR="002E5CC7" w:rsidRPr="002E5CC7">
        <w:rPr>
          <w:rFonts w:ascii="Times New Roman" w:hAnsi="Times New Roman" w:cs="Times New Roman"/>
          <w:szCs w:val="21"/>
        </w:rPr>
        <w:t xml:space="preserve"> Box plots illustrating expression patterns of representative GO </w:t>
      </w:r>
      <w:r w:rsidR="002E5CC7" w:rsidRPr="002E5CC7">
        <w:rPr>
          <w:rFonts w:ascii="Times New Roman" w:hAnsi="Times New Roman" w:cs="Times New Roman"/>
          <w:szCs w:val="21"/>
        </w:rPr>
        <w:lastRenderedPageBreak/>
        <w:t xml:space="preserve">terms across all cell types (A-infection vs. normal). </w:t>
      </w:r>
      <w:r w:rsidR="002E5CC7" w:rsidRPr="00F010DE">
        <w:rPr>
          <w:rFonts w:ascii="Times New Roman" w:hAnsi="Times New Roman" w:cs="Times New Roman"/>
          <w:b/>
          <w:bCs/>
          <w:szCs w:val="21"/>
        </w:rPr>
        <w:t>d</w:t>
      </w:r>
      <w:r w:rsidR="002E5CC7" w:rsidRPr="002E5CC7">
        <w:rPr>
          <w:rFonts w:ascii="Times New Roman" w:hAnsi="Times New Roman" w:cs="Times New Roman"/>
          <w:szCs w:val="21"/>
        </w:rPr>
        <w:t xml:space="preserve"> ISG expression analysis. </w:t>
      </w:r>
      <w:r w:rsidR="002E5CC7" w:rsidRPr="00F010DE">
        <w:rPr>
          <w:rFonts w:ascii="Times New Roman" w:hAnsi="Times New Roman" w:cs="Times New Roman"/>
          <w:b/>
          <w:bCs/>
          <w:szCs w:val="21"/>
        </w:rPr>
        <w:t>e-j</w:t>
      </w:r>
      <w:r w:rsidR="002E5CC7" w:rsidRPr="002E5CC7">
        <w:rPr>
          <w:rFonts w:ascii="Times New Roman" w:hAnsi="Times New Roman" w:cs="Times New Roman"/>
          <w:szCs w:val="21"/>
        </w:rPr>
        <w:t xml:space="preserve"> Heatmaps showing alterations in cell-cell communication networks of key immune signaling pathways between Normal and A-infection groups. Statistical significance: *p &lt; 0.05, **p &lt; 0.01, ***p &lt; 0.001.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640A788" w14:textId="14CE0A86" w:rsidR="00434A5A" w:rsidRDefault="00434A5A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noProof/>
        </w:rPr>
        <w:lastRenderedPageBreak/>
        <w:drawing>
          <wp:inline distT="0" distB="0" distL="0" distR="0" wp14:anchorId="05657488" wp14:editId="59F7C2FE">
            <wp:extent cx="6188710" cy="8213090"/>
            <wp:effectExtent l="0" t="0" r="2540" b="0"/>
            <wp:docPr id="13338948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1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F41BD" w14:textId="43D6E026" w:rsidR="004025E4" w:rsidRDefault="0031203C" w:rsidP="00261828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Cs w:val="21"/>
        </w:rPr>
        <w:t>Fig. S3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DC5D06">
        <w:rPr>
          <w:rFonts w:ascii="Times New Roman Bold" w:hAnsi="Times New Roman Bold" w:cs="Times New Roman Bold"/>
          <w:b/>
          <w:bCs/>
          <w:color w:val="0F1115"/>
        </w:rPr>
        <w:t xml:space="preserve">Differential gene expression and functional enrichment in monocyte and pre-macrophage populations. </w:t>
      </w:r>
      <w:r w:rsidR="00DC5D06">
        <w:rPr>
          <w:rFonts w:ascii="Times New Roman Bold" w:hAnsi="Times New Roman Bold" w:cs="Times New Roman Bold"/>
          <w:b/>
          <w:bCs/>
          <w:color w:val="0F1115"/>
        </w:rPr>
        <w:lastRenderedPageBreak/>
        <w:t xml:space="preserve">a </w:t>
      </w:r>
      <w:r w:rsidR="00DC5D06">
        <w:rPr>
          <w:rFonts w:ascii="Times New Roman" w:hAnsi="Times New Roman"/>
          <w:color w:val="0F1115"/>
        </w:rPr>
        <w:t xml:space="preserve">Volcano plot of DEGs in monocytes. </w:t>
      </w:r>
      <w:r w:rsidR="00DC5D06">
        <w:rPr>
          <w:rFonts w:ascii="Times New Roman Bold" w:hAnsi="Times New Roman Bold" w:cs="Times New Roman Bold"/>
          <w:b/>
          <w:bCs/>
          <w:color w:val="0F1115"/>
        </w:rPr>
        <w:t>b-c</w:t>
      </w:r>
      <w:r w:rsidR="00DC5D06">
        <w:rPr>
          <w:rFonts w:ascii="Times New Roman" w:hAnsi="Times New Roman"/>
          <w:color w:val="0F1115"/>
        </w:rPr>
        <w:t xml:space="preserve"> KEGG pathway enrichment dot plots for monocytes: </w:t>
      </w:r>
      <w:r w:rsidR="00DC5D06">
        <w:rPr>
          <w:rFonts w:ascii="Times New Roman Bold" w:hAnsi="Times New Roman Bold" w:cs="Times New Roman Bold"/>
          <w:b/>
          <w:bCs/>
          <w:color w:val="0F1115"/>
        </w:rPr>
        <w:t>b</w:t>
      </w:r>
      <w:r w:rsidR="00DC5D06">
        <w:rPr>
          <w:rFonts w:ascii="Times New Roman" w:hAnsi="Times New Roman"/>
          <w:color w:val="0F1115"/>
        </w:rPr>
        <w:t xml:space="preserve"> up-regulated DEGs; </w:t>
      </w:r>
      <w:r w:rsidR="00DC5D06">
        <w:rPr>
          <w:rFonts w:ascii="Times New Roman Bold" w:hAnsi="Times New Roman Bold" w:cs="Times New Roman Bold"/>
          <w:b/>
          <w:bCs/>
          <w:color w:val="0F1115"/>
        </w:rPr>
        <w:t>c</w:t>
      </w:r>
      <w:r w:rsidR="00DC5D06">
        <w:rPr>
          <w:rFonts w:ascii="Times New Roman" w:hAnsi="Times New Roman"/>
          <w:color w:val="0F1115"/>
        </w:rPr>
        <w:t xml:space="preserve"> down-regulated DEGs. </w:t>
      </w:r>
      <w:r w:rsidR="00DC5D06">
        <w:rPr>
          <w:rFonts w:ascii="Times New Roman Bold" w:hAnsi="Times New Roman Bold" w:cs="Times New Roman Bold"/>
          <w:b/>
          <w:bCs/>
          <w:color w:val="0F1115"/>
        </w:rPr>
        <w:t>d</w:t>
      </w:r>
      <w:r w:rsidR="00DC5D06">
        <w:rPr>
          <w:rFonts w:ascii="Times New Roman" w:hAnsi="Times New Roman"/>
          <w:color w:val="0F1115"/>
        </w:rPr>
        <w:t xml:space="preserve"> Volcano plot of DEGs in pre-macrophages. </w:t>
      </w:r>
      <w:r w:rsidR="00DC5D06">
        <w:rPr>
          <w:rFonts w:ascii="Times New Roman Bold" w:hAnsi="Times New Roman Bold" w:cs="Times New Roman Bold"/>
          <w:b/>
          <w:bCs/>
          <w:color w:val="0F1115"/>
        </w:rPr>
        <w:t>e-f</w:t>
      </w:r>
      <w:r w:rsidR="00DC5D06">
        <w:rPr>
          <w:rFonts w:ascii="Times New Roman" w:hAnsi="Times New Roman"/>
          <w:color w:val="0F1115"/>
        </w:rPr>
        <w:t xml:space="preserve"> KEGG pathway enrichment dot plots for pre-macrophages: </w:t>
      </w:r>
      <w:r w:rsidR="00DC5D06">
        <w:rPr>
          <w:rFonts w:ascii="Times New Roman Bold" w:hAnsi="Times New Roman Bold" w:cs="Times New Roman Bold"/>
          <w:b/>
          <w:bCs/>
          <w:color w:val="0F1115"/>
        </w:rPr>
        <w:t>e</w:t>
      </w:r>
      <w:r w:rsidR="00DC5D06">
        <w:rPr>
          <w:rFonts w:ascii="Times New Roman" w:hAnsi="Times New Roman"/>
          <w:color w:val="0F1115"/>
        </w:rPr>
        <w:t xml:space="preserve"> up-regulated DEGs; </w:t>
      </w:r>
      <w:r w:rsidR="00DC5D06">
        <w:rPr>
          <w:rFonts w:ascii="Times New Roman Bold" w:hAnsi="Times New Roman Bold" w:cs="Times New Roman Bold"/>
          <w:b/>
          <w:bCs/>
          <w:color w:val="0F1115"/>
        </w:rPr>
        <w:t xml:space="preserve">f </w:t>
      </w:r>
      <w:r w:rsidR="00DC5D06">
        <w:rPr>
          <w:rFonts w:ascii="Times New Roman" w:hAnsi="Times New Roman"/>
          <w:color w:val="0F1115"/>
        </w:rPr>
        <w:t xml:space="preserve">down-regulated DEGs. </w:t>
      </w:r>
      <w:r w:rsidR="00DC5D06">
        <w:rPr>
          <w:rFonts w:ascii="Times New Roman Bold" w:hAnsi="Times New Roman Bold" w:cs="Times New Roman Bold"/>
          <w:b/>
          <w:bCs/>
          <w:color w:val="0F1115"/>
        </w:rPr>
        <w:t>g-h</w:t>
      </w:r>
      <w:r w:rsidR="00DC5D06">
        <w:rPr>
          <w:rFonts w:ascii="Times New Roman" w:hAnsi="Times New Roman"/>
          <w:color w:val="0F1115"/>
        </w:rPr>
        <w:t xml:space="preserve"> Volcano plots of DEGs in CXCL10_low subclusters: </w:t>
      </w:r>
      <w:r w:rsidR="00DC5D06">
        <w:rPr>
          <w:rFonts w:ascii="Times New Roman Bold" w:hAnsi="Times New Roman Bold" w:cs="Times New Roman Bold"/>
          <w:b/>
          <w:bCs/>
          <w:color w:val="0F1115"/>
        </w:rPr>
        <w:t>g</w:t>
      </w:r>
      <w:r w:rsidR="00DC5D06">
        <w:rPr>
          <w:rFonts w:ascii="Times New Roman" w:hAnsi="Times New Roman"/>
          <w:color w:val="0F1115"/>
        </w:rPr>
        <w:t xml:space="preserve"> monocyte CXCL10_low; </w:t>
      </w:r>
      <w:r w:rsidR="00DC5D06">
        <w:rPr>
          <w:rFonts w:ascii="Times New Roman Bold" w:hAnsi="Times New Roman Bold" w:cs="Times New Roman Bold"/>
          <w:b/>
          <w:bCs/>
          <w:color w:val="0F1115"/>
        </w:rPr>
        <w:t>h</w:t>
      </w:r>
      <w:r w:rsidR="00DC5D06">
        <w:rPr>
          <w:rFonts w:ascii="Times New Roman" w:hAnsi="Times New Roman"/>
          <w:color w:val="0F1115"/>
        </w:rPr>
        <w:t xml:space="preserve"> pre-macrophage CXCL10_low. </w:t>
      </w:r>
      <w:r w:rsidR="00DC5D06">
        <w:rPr>
          <w:rFonts w:ascii="Times New Roman Bold" w:hAnsi="Times New Roman Bold" w:cs="Times New Roman Bold"/>
          <w:b/>
          <w:bCs/>
          <w:color w:val="0F1115"/>
        </w:rPr>
        <w:t xml:space="preserve">i-j </w:t>
      </w:r>
      <w:r w:rsidR="00DC5D06">
        <w:rPr>
          <w:rFonts w:ascii="Times New Roman" w:hAnsi="Times New Roman"/>
          <w:color w:val="0F1115"/>
        </w:rPr>
        <w:t xml:space="preserve">GO term enrichment dot plots for up-regulated genes in CXCL10_low subclusters: </w:t>
      </w:r>
      <w:r w:rsidR="00DC5D06">
        <w:rPr>
          <w:rFonts w:ascii="Times New Roman Bold" w:hAnsi="Times New Roman Bold" w:cs="Times New Roman Bold"/>
          <w:b/>
          <w:bCs/>
          <w:color w:val="0F1115"/>
        </w:rPr>
        <w:t xml:space="preserve">i </w:t>
      </w:r>
      <w:r w:rsidR="00DC5D06">
        <w:rPr>
          <w:rFonts w:ascii="Times New Roman" w:hAnsi="Times New Roman"/>
          <w:color w:val="0F1115"/>
        </w:rPr>
        <w:t xml:space="preserve">monocyte; </w:t>
      </w:r>
      <w:r w:rsidR="00DC5D06">
        <w:rPr>
          <w:rFonts w:ascii="Times New Roman Bold" w:hAnsi="Times New Roman Bold" w:cs="Times New Roman Bold"/>
          <w:b/>
          <w:bCs/>
          <w:color w:val="0F1115"/>
        </w:rPr>
        <w:t>j</w:t>
      </w:r>
      <w:r w:rsidR="00DC5D06">
        <w:rPr>
          <w:rFonts w:ascii="Times New Roman" w:hAnsi="Times New Roman"/>
          <w:color w:val="0F1115"/>
        </w:rPr>
        <w:t xml:space="preserve"> pre-macrophage. </w:t>
      </w:r>
      <w:r w:rsidR="00DC5D06">
        <w:rPr>
          <w:rFonts w:ascii="Times New Roman Bold" w:hAnsi="Times New Roman Bold" w:cs="Times New Roman Bold"/>
          <w:b/>
          <w:bCs/>
          <w:color w:val="0F1115"/>
        </w:rPr>
        <w:t>k-o</w:t>
      </w:r>
      <w:r w:rsidR="00DC5D06">
        <w:rPr>
          <w:rFonts w:ascii="Times New Roman" w:hAnsi="Times New Roman"/>
          <w:color w:val="0F1115"/>
        </w:rPr>
        <w:t xml:space="preserve"> Pseudotime expression dynamics of genes (CD53, JUN, PTGS2, SELL, SLAMF7) in A-infection vs. normal groups, plotted along reconstructed pseudotime.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B9A456" w14:textId="2FE1C1B3" w:rsidR="004025E4" w:rsidRDefault="00E859AF">
      <w:pPr>
        <w:widowControl/>
        <w:spacing w:beforeLines="50" w:before="156" w:afterLines="50" w:after="156"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noProof/>
        </w:rPr>
        <w:lastRenderedPageBreak/>
        <w:drawing>
          <wp:inline distT="0" distB="0" distL="0" distR="0" wp14:anchorId="6732064B" wp14:editId="25B5C47A">
            <wp:extent cx="6188710" cy="6971030"/>
            <wp:effectExtent l="0" t="0" r="2540" b="1270"/>
            <wp:docPr id="55613877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97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05378" w14:textId="3D2DFF0D" w:rsidR="00405A2E" w:rsidRPr="00261828" w:rsidRDefault="00000000" w:rsidP="00261828">
      <w:pPr>
        <w:spacing w:beforeLines="50" w:before="156" w:afterLines="50" w:after="156"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Fig. S4</w:t>
      </w:r>
      <w:r w:rsidR="00DC5D06">
        <w:rPr>
          <w:rFonts w:ascii="Times New Roman" w:hAnsi="Times New Roman" w:cs="Times New Roman" w:hint="eastAsia"/>
          <w:szCs w:val="21"/>
        </w:rPr>
        <w:t xml:space="preserve"> </w:t>
      </w:r>
      <w:r w:rsidR="00DC5D06">
        <w:rPr>
          <w:rFonts w:ascii="Times New Roman Bold" w:eastAsia="宋体" w:hAnsi="Times New Roman Bold" w:cs="Times New Roman Bold"/>
          <w:b/>
          <w:color w:val="0F1115"/>
        </w:rPr>
        <w:t>Functional and transcriptional profiling of cell potency and subcluster-specific responses in NK and CD8⁺ T cells.</w:t>
      </w:r>
      <w:r w:rsidR="00DC5D06">
        <w:rPr>
          <w:rFonts w:ascii="Times New Roman Regular" w:eastAsia="宋体" w:hAnsi="Times New Roman Regular" w:cs="Times New Roman Regular"/>
          <w:color w:val="0F1115"/>
        </w:rPr>
        <w:t xml:space="preserve"> </w:t>
      </w:r>
      <w:r w:rsidR="00DC5D06">
        <w:rPr>
          <w:rFonts w:ascii="Times New Roman Bold" w:eastAsia="宋体" w:hAnsi="Times New Roman Bold" w:cs="Times New Roman Bold"/>
          <w:b/>
          <w:color w:val="0F1115"/>
        </w:rPr>
        <w:t>a</w:t>
      </w:r>
      <w:r w:rsidR="00DC5D06">
        <w:rPr>
          <w:rFonts w:ascii="Times New Roman Regular" w:eastAsia="宋体" w:hAnsi="Times New Roman Regular" w:cs="Times New Roman Regular"/>
          <w:color w:val="0F1115"/>
        </w:rPr>
        <w:t xml:space="preserve"> UMAP visualization of NK cells colored by potency category in the dataset.</w:t>
      </w:r>
      <w:r w:rsidR="00DC5D06">
        <w:rPr>
          <w:rFonts w:ascii="Times New Roman Regular" w:eastAsia="宋体" w:hAnsi="Times New Roman Regular" w:cs="Times New Roman Regular"/>
          <w:bCs/>
          <w:color w:val="0F1115"/>
        </w:rPr>
        <w:t xml:space="preserve"> </w:t>
      </w:r>
      <w:r w:rsidR="00DC5D06">
        <w:rPr>
          <w:rFonts w:ascii="Times New Roman Bold" w:eastAsia="宋体" w:hAnsi="Times New Roman Bold" w:cs="Times New Roman Bold"/>
          <w:b/>
          <w:color w:val="0F1115"/>
        </w:rPr>
        <w:t>b</w:t>
      </w:r>
      <w:r w:rsidR="00DC5D06">
        <w:rPr>
          <w:rFonts w:ascii="Times New Roman Regular" w:eastAsia="宋体" w:hAnsi="Times New Roman Regular" w:cs="Times New Roman Regular"/>
          <w:color w:val="0F1115"/>
        </w:rPr>
        <w:t xml:space="preserve"> Volcano plot depicting DEGs in NK cells (A-infection vs. normal): 121 down-regulated genes (blue) and 49 up-regulated genes (red); key genes are labeled. </w:t>
      </w:r>
      <w:r w:rsidR="00DC5D06">
        <w:rPr>
          <w:rFonts w:ascii="Times New Roman Bold" w:eastAsia="宋体" w:hAnsi="Times New Roman Bold" w:cs="Times New Roman Bold"/>
          <w:b/>
          <w:color w:val="0F1115"/>
        </w:rPr>
        <w:t>c</w:t>
      </w:r>
      <w:r w:rsidR="00DC5D06">
        <w:rPr>
          <w:rFonts w:ascii="Times New Roman Regular" w:eastAsia="宋体" w:hAnsi="Times New Roman Regular" w:cs="Times New Roman Regular"/>
          <w:color w:val="0F1115"/>
        </w:rPr>
        <w:t xml:space="preserve"> Bar plot of GO terms up-regulated in normal group cells. </w:t>
      </w:r>
      <w:r w:rsidR="00DC5D06">
        <w:rPr>
          <w:rFonts w:ascii="Times New Roman Regular" w:eastAsia="宋体" w:hAnsi="Times New Roman Regular" w:cs="Times New Roman Regular"/>
          <w:b/>
          <w:color w:val="0F1115"/>
        </w:rPr>
        <w:t>d</w:t>
      </w:r>
      <w:r w:rsidR="00DC5D06">
        <w:rPr>
          <w:rFonts w:ascii="Times New Roman Regular" w:eastAsia="宋体" w:hAnsi="Times New Roman Regular" w:cs="Times New Roman Regular"/>
          <w:color w:val="0F1115"/>
        </w:rPr>
        <w:t xml:space="preserve"> UMAP visualization of CD8⁺ T cells colored by potency category.</w:t>
      </w:r>
      <w:r w:rsidR="00DC5D06">
        <w:rPr>
          <w:rFonts w:ascii="Times New Roman Regular" w:eastAsia="宋体" w:hAnsi="Times New Roman Regular" w:cs="Times New Roman Regular"/>
          <w:bCs/>
          <w:color w:val="0F1115"/>
        </w:rPr>
        <w:t xml:space="preserve"> </w:t>
      </w:r>
      <w:r w:rsidR="00DC5D06">
        <w:rPr>
          <w:rFonts w:ascii="Times New Roman Bold" w:eastAsia="宋体" w:hAnsi="Times New Roman Bold" w:cs="Times New Roman Bold"/>
          <w:b/>
          <w:color w:val="0F1115"/>
        </w:rPr>
        <w:t>e</w:t>
      </w:r>
      <w:r w:rsidR="00DC5D06">
        <w:rPr>
          <w:rFonts w:ascii="Times New Roman Regular" w:eastAsia="宋体" w:hAnsi="Times New Roman Regular" w:cs="Times New Roman Regular"/>
          <w:color w:val="0F1115"/>
        </w:rPr>
        <w:t xml:space="preserve"> Dot plot showing marker gene expression across CD8⁺ T cell functional states. </w:t>
      </w:r>
      <w:r w:rsidR="00DC5D06">
        <w:rPr>
          <w:rFonts w:ascii="Times New Roman Bold" w:eastAsia="宋体" w:hAnsi="Times New Roman Bold" w:cs="Times New Roman Bold"/>
          <w:b/>
          <w:color w:val="0F1115"/>
        </w:rPr>
        <w:t>f</w:t>
      </w:r>
      <w:r w:rsidR="00DC5D06">
        <w:rPr>
          <w:rFonts w:ascii="Times New Roman Regular" w:eastAsia="宋体" w:hAnsi="Times New Roman Regular" w:cs="Times New Roman Regular"/>
          <w:color w:val="0F1115"/>
        </w:rPr>
        <w:t xml:space="preserve"> </w:t>
      </w:r>
      <w:r w:rsidR="00DC5D06">
        <w:rPr>
          <w:rFonts w:ascii="Times New Roman Regular" w:eastAsia="宋体" w:hAnsi="Times New Roman Regular" w:cs="Times New Roman Regular"/>
          <w:color w:val="0F1115"/>
        </w:rPr>
        <w:lastRenderedPageBreak/>
        <w:t xml:space="preserve">Volcano plot depicting DEGs in CD8⁺ T cell subclusters (A-infection vs. normal): 528 down-regulated genes (blue) and 189 up-regulated genes (red); key genes are labeled. </w:t>
      </w:r>
      <w:r w:rsidR="00DC5D06">
        <w:rPr>
          <w:rFonts w:ascii="Times New Roman Bold" w:eastAsia="宋体" w:hAnsi="Times New Roman Bold" w:cs="Times New Roman Bold"/>
          <w:b/>
          <w:color w:val="0F1115"/>
        </w:rPr>
        <w:t>g</w:t>
      </w:r>
      <w:r w:rsidR="00DC5D06">
        <w:rPr>
          <w:rFonts w:ascii="Times New Roman Regular" w:eastAsia="宋体" w:hAnsi="Times New Roman Regular" w:cs="Times New Roman Regular"/>
          <w:color w:val="0F1115"/>
        </w:rPr>
        <w:t xml:space="preserve"> GO term enrichment dot plot for up-regulated genes in A-infection C1 subcluster. </w:t>
      </w:r>
      <w:r w:rsidR="00DC5D06">
        <w:rPr>
          <w:rFonts w:ascii="Times New Roman Bold" w:eastAsia="宋体" w:hAnsi="Times New Roman Bold" w:cs="Times New Roman Bold"/>
          <w:b/>
          <w:color w:val="0F1115"/>
        </w:rPr>
        <w:t>h</w:t>
      </w:r>
      <w:r w:rsidR="00DC5D06">
        <w:rPr>
          <w:rFonts w:ascii="Times New Roman Regular" w:eastAsia="宋体" w:hAnsi="Times New Roman Regular" w:cs="Times New Roman Regular"/>
          <w:color w:val="0F1115"/>
        </w:rPr>
        <w:t xml:space="preserve"> GO term enrichment dot plot for up-regulated genes in normal C1 subcluster. </w:t>
      </w:r>
      <w:r w:rsidR="00DC5D06">
        <w:rPr>
          <w:rFonts w:ascii="Times New Roman Bold" w:eastAsia="宋体" w:hAnsi="Times New Roman Bold" w:cs="Times New Roman Bold"/>
          <w:b/>
          <w:color w:val="0F1115"/>
        </w:rPr>
        <w:t>i</w:t>
      </w:r>
      <w:r w:rsidR="00DC5D06">
        <w:rPr>
          <w:rFonts w:ascii="Times New Roman Regular" w:eastAsia="宋体" w:hAnsi="Times New Roman Regular" w:cs="Times New Roman Regular"/>
          <w:color w:val="0F1115"/>
        </w:rPr>
        <w:t xml:space="preserve"> Expression level plots (stratifie</w:t>
      </w:r>
      <w:r w:rsidR="00DC5D06" w:rsidRPr="00F1200B">
        <w:rPr>
          <w:rFonts w:ascii="Times New Roman Regular" w:eastAsia="宋体" w:hAnsi="Times New Roman Regular" w:cs="Times New Roman Regular"/>
          <w:color w:val="0F1115"/>
        </w:rPr>
        <w:t>d by normal/A-infection) across CD8⁺ T cell subclusters (C1-C6), visualizing inter-group expression differences.</w:t>
      </w:r>
      <w:r w:rsidR="00F1200B" w:rsidRPr="00F1200B">
        <w:rPr>
          <w:rFonts w:ascii="Times New Roman Bold" w:hAnsi="Times New Roman Bold" w:cs="Times New Roman Bold"/>
          <w:b/>
          <w:bCs/>
          <w:color w:val="0F1115"/>
        </w:rPr>
        <w:t xml:space="preserve"> </w:t>
      </w:r>
      <w:r w:rsidR="00F1200B" w:rsidRPr="00F1200B">
        <w:rPr>
          <w:rFonts w:ascii="Times New Roman Bold" w:hAnsi="Times New Roman Bold" w:cs="Times New Roman Bold" w:hint="eastAsia"/>
          <w:b/>
          <w:bCs/>
          <w:color w:val="0F1115"/>
        </w:rPr>
        <w:t>j</w:t>
      </w:r>
      <w:r w:rsidR="00F1200B" w:rsidRPr="00F1200B">
        <w:rPr>
          <w:rFonts w:ascii="Times New Roman" w:hAnsi="Times New Roman"/>
          <w:color w:val="0F1115"/>
        </w:rPr>
        <w:t xml:space="preserve"> Expression dynamics of KLF7 along reconstructed pseudotime in A-infection vs. normal groups.</w:t>
      </w:r>
      <w:r w:rsidR="00DC5D06" w:rsidRPr="00F1200B">
        <w:rPr>
          <w:rFonts w:ascii="Times New Roman Regular" w:eastAsia="宋体" w:hAnsi="Times New Roman Regular" w:cs="Times New Roman Regular"/>
          <w:color w:val="0F1115"/>
        </w:rPr>
        <w:t xml:space="preserve"> </w:t>
      </w:r>
      <w:r w:rsidR="00F1200B" w:rsidRPr="00F1200B">
        <w:rPr>
          <w:rFonts w:ascii="Times New Roman Bold" w:eastAsia="宋体" w:hAnsi="Times New Roman Bold" w:cs="Times New Roman Bold" w:hint="eastAsia"/>
          <w:b/>
          <w:color w:val="0F1115"/>
        </w:rPr>
        <w:t>k</w:t>
      </w:r>
      <w:r w:rsidR="00DC5D06" w:rsidRPr="00F1200B">
        <w:rPr>
          <w:rFonts w:ascii="Times New Roman Regular" w:eastAsia="宋体" w:hAnsi="Times New Roman Regular" w:cs="Times New Roman Regular"/>
          <w:color w:val="0F1115"/>
        </w:rPr>
        <w:t xml:space="preserve"> Dot plot of marker gene expression in C1 subcluster.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5340F93" w14:textId="578DED41" w:rsidR="00405A2E" w:rsidRDefault="006F51EA" w:rsidP="00357B89">
      <w:pPr>
        <w:widowControl/>
        <w:spacing w:beforeLines="50" w:before="156" w:afterLines="50" w:after="156"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noProof/>
        </w:rPr>
        <w:lastRenderedPageBreak/>
        <w:drawing>
          <wp:inline distT="0" distB="0" distL="0" distR="0" wp14:anchorId="710A5BBB" wp14:editId="35C1D627">
            <wp:extent cx="6188710" cy="7304405"/>
            <wp:effectExtent l="0" t="0" r="2540" b="0"/>
            <wp:docPr id="3418565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730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3DEE9" w14:textId="1CFF8B93" w:rsidR="004025E4" w:rsidRPr="00F010DE" w:rsidRDefault="0031203C" w:rsidP="0031203C">
      <w:pPr>
        <w:widowControl/>
        <w:spacing w:beforeLines="50" w:before="156" w:afterLines="50" w:after="156"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Fig. S5</w:t>
      </w:r>
      <w:r w:rsidR="00DC5D06">
        <w:rPr>
          <w:rFonts w:ascii="Times New Roman" w:hAnsi="Times New Roman" w:cs="Times New Roman" w:hint="eastAsia"/>
          <w:szCs w:val="21"/>
        </w:rPr>
        <w:t xml:space="preserve"> </w:t>
      </w:r>
      <w:r w:rsidR="00DC5D06">
        <w:rPr>
          <w:rFonts w:ascii="Times New Roman Regular" w:hAnsi="Times New Roman Regular" w:cs="Times New Roman Regular"/>
          <w:b/>
          <w:bCs/>
        </w:rPr>
        <w:t>Molecular responses and regulatory networks of pre-macrophages and monocytes during CHIKV A-infection</w:t>
      </w:r>
      <w:r w:rsidR="00DC5D06">
        <w:rPr>
          <w:rFonts w:ascii="Times New Roman Regular" w:hAnsi="Times New Roman Regular" w:cs="Times New Roman Regular"/>
        </w:rPr>
        <w:t xml:space="preserve">. </w:t>
      </w:r>
      <w:r w:rsidR="00DC5D06">
        <w:rPr>
          <w:rFonts w:ascii="Times New Roman Regular" w:hAnsi="Times New Roman Regular" w:cs="Times New Roman Regular"/>
          <w:b/>
          <w:bCs/>
        </w:rPr>
        <w:t>a</w:t>
      </w:r>
      <w:r w:rsidR="00091942">
        <w:rPr>
          <w:rFonts w:ascii="Times New Roman Regular" w:hAnsi="Times New Roman Regular" w:cs="Times New Roman Regular" w:hint="eastAsia"/>
          <w:b/>
          <w:bCs/>
        </w:rPr>
        <w:t>-</w:t>
      </w:r>
      <w:r w:rsidR="00DC5D06">
        <w:rPr>
          <w:rFonts w:ascii="Times New Roman Regular" w:hAnsi="Times New Roman Regular" w:cs="Times New Roman Regular"/>
          <w:b/>
          <w:bCs/>
        </w:rPr>
        <w:t>b</w:t>
      </w:r>
      <w:r w:rsidR="00DC5D06">
        <w:rPr>
          <w:rFonts w:ascii="Times New Roman Regular" w:hAnsi="Times New Roman Regular" w:cs="Times New Roman Regular"/>
        </w:rPr>
        <w:t xml:space="preserve"> Violin plots showing expression levels of CCL2 (</w:t>
      </w:r>
      <w:r w:rsidR="00DC5D06" w:rsidRPr="00D440A4">
        <w:rPr>
          <w:rFonts w:ascii="Times New Roman Regular" w:hAnsi="Times New Roman Regular" w:cs="Times New Roman Regular"/>
          <w:b/>
          <w:bCs/>
        </w:rPr>
        <w:t>a</w:t>
      </w:r>
      <w:r w:rsidR="00DC5D06">
        <w:rPr>
          <w:rFonts w:ascii="Times New Roman Regular" w:hAnsi="Times New Roman Regular" w:cs="Times New Roman Regular"/>
        </w:rPr>
        <w:t>) and CCR2 (</w:t>
      </w:r>
      <w:r w:rsidR="00DC5D06" w:rsidRPr="00D440A4">
        <w:rPr>
          <w:rFonts w:ascii="Times New Roman Regular" w:hAnsi="Times New Roman Regular" w:cs="Times New Roman Regular"/>
          <w:b/>
          <w:bCs/>
        </w:rPr>
        <w:t>b</w:t>
      </w:r>
      <w:r w:rsidR="00DC5D06">
        <w:rPr>
          <w:rFonts w:ascii="Times New Roman Regular" w:hAnsi="Times New Roman Regular" w:cs="Times New Roman Regular"/>
        </w:rPr>
        <w:t>) across distinct cell types</w:t>
      </w:r>
      <w:r w:rsidR="00DC5D06">
        <w:rPr>
          <w:rFonts w:ascii="Times New Roman Regular" w:hAnsi="Times New Roman Regular" w:cs="Times New Roman Regular" w:hint="eastAsia"/>
        </w:rPr>
        <w:t>，</w:t>
      </w:r>
      <w:r w:rsidR="00DC5D06">
        <w:rPr>
          <w:rFonts w:ascii="Times New Roman Regular" w:hAnsi="Times New Roman Regular" w:cs="Times New Roman Regular" w:hint="eastAsia"/>
        </w:rPr>
        <w:t xml:space="preserve">stratified by Normal and A-infection cohorts. </w:t>
      </w:r>
      <w:r w:rsidR="00091942">
        <w:rPr>
          <w:rFonts w:ascii="Times New Roman Regular" w:hAnsi="Times New Roman Regular" w:cs="Times New Roman Regular" w:hint="eastAsia"/>
          <w:b/>
          <w:bCs/>
        </w:rPr>
        <w:t>c-d</w:t>
      </w:r>
      <w:r w:rsidR="00DC5D06">
        <w:rPr>
          <w:rFonts w:ascii="Times New Roman Regular" w:hAnsi="Times New Roman Regular" w:cs="Times New Roman Regular"/>
        </w:rPr>
        <w:t xml:space="preserve"> Volcano plots illustrating differential regulatory activity of transcription regulators in pre-macrophages (</w:t>
      </w:r>
      <w:r w:rsidR="00D440A4">
        <w:rPr>
          <w:rFonts w:ascii="Times New Roman Regular" w:hAnsi="Times New Roman Regular" w:cs="Times New Roman Regular" w:hint="eastAsia"/>
          <w:b/>
          <w:bCs/>
        </w:rPr>
        <w:t>c</w:t>
      </w:r>
      <w:r w:rsidR="00DC5D06">
        <w:rPr>
          <w:rFonts w:ascii="Times New Roman Regular" w:hAnsi="Times New Roman Regular" w:cs="Times New Roman Regular"/>
        </w:rPr>
        <w:t>) and monocytes (</w:t>
      </w:r>
      <w:r w:rsidR="00D440A4">
        <w:rPr>
          <w:rFonts w:ascii="Times New Roman Regular" w:hAnsi="Times New Roman Regular" w:cs="Times New Roman Regular" w:hint="eastAsia"/>
          <w:b/>
          <w:bCs/>
        </w:rPr>
        <w:t>d</w:t>
      </w:r>
      <w:r w:rsidR="00DC5D06">
        <w:rPr>
          <w:rFonts w:ascii="Times New Roman Regular" w:hAnsi="Times New Roman Regular" w:cs="Times New Roman Regular"/>
        </w:rPr>
        <w:t xml:space="preserve">) (A-infection vs. normal). </w:t>
      </w:r>
      <w:r w:rsidR="00091942">
        <w:rPr>
          <w:rFonts w:ascii="Times New Roman Regular" w:hAnsi="Times New Roman Regular" w:cs="Times New Roman Regular" w:hint="eastAsia"/>
          <w:b/>
          <w:bCs/>
        </w:rPr>
        <w:t>e</w:t>
      </w:r>
      <w:r w:rsidR="00DC5D06">
        <w:rPr>
          <w:rFonts w:ascii="Times New Roman Regular" w:hAnsi="Times New Roman Regular" w:cs="Times New Roman Regular"/>
          <w:b/>
          <w:bCs/>
        </w:rPr>
        <w:t>-</w:t>
      </w:r>
      <w:r w:rsidR="00091942">
        <w:rPr>
          <w:rFonts w:ascii="Times New Roman Regular" w:hAnsi="Times New Roman Regular" w:cs="Times New Roman Regular" w:hint="eastAsia"/>
          <w:b/>
          <w:bCs/>
        </w:rPr>
        <w:t>h</w:t>
      </w:r>
      <w:r w:rsidR="00DC5D06">
        <w:rPr>
          <w:rFonts w:ascii="Times New Roman Regular" w:hAnsi="Times New Roman Regular" w:cs="Times New Roman Regular"/>
        </w:rPr>
        <w:t xml:space="preserve"> Scatter plots of </w:t>
      </w:r>
      <w:r w:rsidR="00DC5D06">
        <w:rPr>
          <w:rFonts w:ascii="Times New Roman Regular" w:hAnsi="Times New Roman Regular" w:cs="Times New Roman Regular"/>
        </w:rPr>
        <w:lastRenderedPageBreak/>
        <w:t>pre-macrophages: each plot shows the correlation between the AUC of regulator-positive (+) populations (x-axis) and CXCL10 expression (y-axis) for ATF3⁺ (</w:t>
      </w:r>
      <w:r w:rsidR="005F06B4" w:rsidRPr="005F06B4">
        <w:rPr>
          <w:rFonts w:ascii="Times New Roman Regular" w:hAnsi="Times New Roman Regular" w:cs="Times New Roman Regular" w:hint="eastAsia"/>
          <w:b/>
          <w:bCs/>
        </w:rPr>
        <w:t>e</w:t>
      </w:r>
      <w:r w:rsidR="00DC5D06">
        <w:rPr>
          <w:rFonts w:ascii="Times New Roman Regular" w:hAnsi="Times New Roman Regular" w:cs="Times New Roman Regular"/>
        </w:rPr>
        <w:t>), IRF7⁺ (</w:t>
      </w:r>
      <w:r w:rsidR="005F06B4" w:rsidRPr="005F06B4">
        <w:rPr>
          <w:rFonts w:ascii="Times New Roman Regular" w:hAnsi="Times New Roman Regular" w:cs="Times New Roman Regular" w:hint="eastAsia"/>
          <w:b/>
          <w:bCs/>
        </w:rPr>
        <w:t>f</w:t>
      </w:r>
      <w:r w:rsidR="00DC5D06">
        <w:rPr>
          <w:rFonts w:ascii="Times New Roman Regular" w:hAnsi="Times New Roman Regular" w:cs="Times New Roman Regular"/>
        </w:rPr>
        <w:t>), STAT1⁺ (</w:t>
      </w:r>
      <w:r w:rsidR="005F06B4" w:rsidRPr="005F06B4">
        <w:rPr>
          <w:rFonts w:ascii="Times New Roman Regular" w:hAnsi="Times New Roman Regular" w:cs="Times New Roman Regular" w:hint="eastAsia"/>
          <w:b/>
          <w:bCs/>
        </w:rPr>
        <w:t>g</w:t>
      </w:r>
      <w:r w:rsidR="00DC5D06">
        <w:rPr>
          <w:rFonts w:ascii="Times New Roman Regular" w:hAnsi="Times New Roman Regular" w:cs="Times New Roman Regular"/>
        </w:rPr>
        <w:t>), and STAT2⁺ (</w:t>
      </w:r>
      <w:r w:rsidR="005F06B4" w:rsidRPr="005F06B4">
        <w:rPr>
          <w:rFonts w:ascii="Times New Roman Regular" w:hAnsi="Times New Roman Regular" w:cs="Times New Roman Regular" w:hint="eastAsia"/>
          <w:b/>
          <w:bCs/>
        </w:rPr>
        <w:t>h</w:t>
      </w:r>
      <w:r w:rsidR="00DC5D06">
        <w:rPr>
          <w:rFonts w:ascii="Times New Roman Regular" w:hAnsi="Times New Roman Regular" w:cs="Times New Roman Regular"/>
        </w:rPr>
        <w:t>) subsets.</w:t>
      </w:r>
      <w:r w:rsidR="00D440A4">
        <w:rPr>
          <w:rFonts w:ascii="Times New Roman Regular" w:hAnsi="Times New Roman Regular" w:cs="Times New Roman Regular" w:hint="eastAsia"/>
        </w:rPr>
        <w:t xml:space="preserve"> </w:t>
      </w:r>
      <w:r w:rsidR="00D440A4">
        <w:rPr>
          <w:rFonts w:ascii="Times New Roman Regular" w:hAnsi="Times New Roman Regular" w:cs="Times New Roman Regular" w:hint="eastAsia"/>
          <w:b/>
          <w:bCs/>
        </w:rPr>
        <w:t>i-j</w:t>
      </w:r>
      <w:r w:rsidR="00DC5D06">
        <w:rPr>
          <w:rFonts w:ascii="Times New Roman Regular" w:hAnsi="Times New Roman Regular" w:cs="Times New Roman Regular"/>
        </w:rPr>
        <w:t xml:space="preserve"> Scatter plots of monocytes: each plot depicts the correlation between the AUC of regulator-positive (+) populations (x-axis) and CXCL10 expression (y-axis) for ATF3⁺ (</w:t>
      </w:r>
      <w:r w:rsidR="005F06B4" w:rsidRPr="005F06B4">
        <w:rPr>
          <w:rFonts w:ascii="Times New Roman Regular" w:hAnsi="Times New Roman Regular" w:cs="Times New Roman Regular" w:hint="eastAsia"/>
          <w:b/>
          <w:bCs/>
        </w:rPr>
        <w:t>i</w:t>
      </w:r>
      <w:r w:rsidR="00DC5D06">
        <w:rPr>
          <w:rFonts w:ascii="Times New Roman Regular" w:hAnsi="Times New Roman Regular" w:cs="Times New Roman Regular"/>
        </w:rPr>
        <w:t>) and IRF7⁺ (</w:t>
      </w:r>
      <w:r w:rsidR="005F06B4" w:rsidRPr="005F06B4">
        <w:rPr>
          <w:rFonts w:ascii="Times New Roman Regular" w:hAnsi="Times New Roman Regular" w:cs="Times New Roman Regular" w:hint="eastAsia"/>
          <w:b/>
          <w:bCs/>
        </w:rPr>
        <w:t>j</w:t>
      </w:r>
      <w:r w:rsidR="00DC5D06">
        <w:rPr>
          <w:rFonts w:ascii="Times New Roman Regular" w:hAnsi="Times New Roman Regular" w:cs="Times New Roman Regular"/>
        </w:rPr>
        <w:t xml:space="preserve">) subsets. </w:t>
      </w:r>
      <w:r w:rsidR="00091942">
        <w:rPr>
          <w:rFonts w:ascii="Times New Roman Regular" w:hAnsi="Times New Roman Regular" w:cs="Times New Roman Regular" w:hint="eastAsia"/>
          <w:b/>
          <w:bCs/>
        </w:rPr>
        <w:t>k</w:t>
      </w:r>
      <w:r w:rsidR="00DC5D06">
        <w:rPr>
          <w:rFonts w:ascii="Times New Roman Regular" w:hAnsi="Times New Roman Regular" w:cs="Times New Roman Regular"/>
          <w:b/>
          <w:bCs/>
        </w:rPr>
        <w:t xml:space="preserve"> </w:t>
      </w:r>
      <w:r w:rsidR="00DC5D06">
        <w:rPr>
          <w:rFonts w:ascii="Times New Roman Regular" w:hAnsi="Times New Roman Regular" w:cs="Times New Roman Regular"/>
        </w:rPr>
        <w:t xml:space="preserve">hdWGCNA hierarchical clustering dendrogram of genes: branches represent gene clusters; module colors (right) are assigned to each cluster. </w:t>
      </w:r>
      <w:r w:rsidR="00091942">
        <w:rPr>
          <w:rFonts w:ascii="Times New Roman Regular" w:hAnsi="Times New Roman Regular" w:cs="Times New Roman Regular" w:hint="eastAsia"/>
          <w:b/>
          <w:bCs/>
        </w:rPr>
        <w:t>l</w:t>
      </w:r>
      <w:r w:rsidR="00DC5D06">
        <w:rPr>
          <w:rFonts w:ascii="Times New Roman Regular" w:hAnsi="Times New Roman Regular" w:cs="Times New Roman Regular"/>
        </w:rPr>
        <w:t xml:space="preserve"> Summary plots for hdWGCNA modules (M1-M17): each plot lists key genes per module, with module membership (MME) values indicating gene-module correlation strength. </w:t>
      </w:r>
      <w:r w:rsidR="00091942">
        <w:rPr>
          <w:rFonts w:ascii="Times New Roman Regular" w:hAnsi="Times New Roman Regular" w:cs="Times New Roman Regular" w:hint="eastAsia"/>
          <w:b/>
          <w:bCs/>
        </w:rPr>
        <w:t>m</w:t>
      </w:r>
      <w:r w:rsidR="00DC5D06">
        <w:rPr>
          <w:rFonts w:ascii="Times New Roman Regular" w:hAnsi="Times New Roman Regular" w:cs="Times New Roman Regular"/>
        </w:rPr>
        <w:t xml:space="preserve"> Feature plots illustrating the expression pattern of each hdWGCNA module (M1-M17) across the cell population; color intensity denotes module expression level.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60027D9" w14:textId="4AF0281D" w:rsidR="0031203C" w:rsidRPr="0031203C" w:rsidRDefault="00FC7313" w:rsidP="0031203C">
      <w:pPr>
        <w:widowControl/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/>
          <w:noProof/>
        </w:rPr>
        <w:lastRenderedPageBreak/>
        <w:drawing>
          <wp:inline distT="0" distB="0" distL="0" distR="0" wp14:anchorId="2F9AE417" wp14:editId="0C63DF0B">
            <wp:extent cx="6188710" cy="4516755"/>
            <wp:effectExtent l="0" t="0" r="2540" b="0"/>
            <wp:docPr id="13851102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51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D2B0C" w14:textId="03200837" w:rsidR="004025E4" w:rsidRPr="00261828" w:rsidRDefault="00000000" w:rsidP="00261828">
      <w:pPr>
        <w:spacing w:beforeLines="50" w:before="156" w:afterLines="50" w:after="156"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Fig. S6</w:t>
      </w:r>
      <w:r w:rsidR="00DC5D06">
        <w:rPr>
          <w:rFonts w:ascii="Times New Roman" w:hAnsi="Times New Roman" w:cs="Times New Roman" w:hint="eastAsia"/>
          <w:szCs w:val="21"/>
        </w:rPr>
        <w:t xml:space="preserve"> </w:t>
      </w:r>
      <w:r w:rsidR="00DC5D06">
        <w:rPr>
          <w:rFonts w:ascii="Times New Roman Bold" w:hAnsi="Times New Roman Bold" w:cs="Times New Roman Bold"/>
          <w:b/>
          <w:bCs/>
        </w:rPr>
        <w:t>Immune gene expression and pathway dynamics across CHIKV infection stages. a</w:t>
      </w:r>
      <w:r w:rsidR="000A29BC">
        <w:rPr>
          <w:rFonts w:ascii="Times New Roman Bold" w:hAnsi="Times New Roman Bold" w:cs="Times New Roman Bold" w:hint="eastAsia"/>
          <w:b/>
          <w:bCs/>
        </w:rPr>
        <w:t xml:space="preserve"> </w:t>
      </w:r>
      <w:r w:rsidR="000A29BC" w:rsidRPr="000A29BC">
        <w:rPr>
          <w:rFonts w:ascii="Times New Roman" w:hAnsi="Times New Roman" w:cs="Times New Roman"/>
        </w:rPr>
        <w:t>Bar chart showing the changes in five major immune cell populations across the Normal, A-infection, and C-infection groups.</w:t>
      </w:r>
      <w:r w:rsidR="00DC5D06">
        <w:rPr>
          <w:rFonts w:ascii="Times New Roman Bold" w:hAnsi="Times New Roman Bold" w:cs="Times New Roman Bold" w:hint="eastAsia"/>
          <w:b/>
          <w:bCs/>
        </w:rPr>
        <w:t xml:space="preserve"> b</w:t>
      </w:r>
      <w:r w:rsidR="00DC5D06">
        <w:rPr>
          <w:rFonts w:ascii="Times New Roman" w:hAnsi="Times New Roman" w:cs="Times New Roman"/>
        </w:rPr>
        <w:t xml:space="preserve"> Violin plot showing IL1RN</w:t>
      </w:r>
      <w:r w:rsidR="00DC5D06">
        <w:rPr>
          <w:rFonts w:ascii="Times New Roman" w:hAnsi="Times New Roman" w:cs="Times New Roman" w:hint="eastAsia"/>
        </w:rPr>
        <w:t xml:space="preserve"> and </w:t>
      </w:r>
      <w:r w:rsidR="00DC5D06">
        <w:rPr>
          <w:rFonts w:ascii="Times New Roman" w:hAnsi="Times New Roman" w:cs="Times New Roman"/>
        </w:rPr>
        <w:t>IL1B expression levels across distinct immune cell subsets in A-infection and C-infection groups.</w:t>
      </w:r>
      <w:r w:rsidR="000A29BC" w:rsidRPr="000A29BC">
        <w:t xml:space="preserve"> </w:t>
      </w:r>
      <w:r w:rsidR="000A29BC" w:rsidRPr="000A29BC">
        <w:rPr>
          <w:rFonts w:ascii="Times New Roman Bold" w:hAnsi="Times New Roman Bold" w:cs="Times New Roman Bold" w:hint="eastAsia"/>
          <w:b/>
          <w:bCs/>
        </w:rPr>
        <w:t>c</w:t>
      </w:r>
      <w:r w:rsidR="00FB2A3C" w:rsidRPr="00FB2A3C">
        <w:rPr>
          <w:rFonts w:ascii="Times New Roman" w:hAnsi="Times New Roman" w:hint="eastAsia"/>
          <w:color w:val="0F1115"/>
        </w:rPr>
        <w:t xml:space="preserve"> </w:t>
      </w:r>
      <w:r w:rsidR="00FB2A3C">
        <w:rPr>
          <w:rFonts w:ascii="Times New Roman" w:hAnsi="Times New Roman" w:hint="eastAsia"/>
          <w:color w:val="0F1115"/>
        </w:rPr>
        <w:t xml:space="preserve">The </w:t>
      </w:r>
      <w:r w:rsidR="00FB2A3C" w:rsidRPr="00710492">
        <w:rPr>
          <w:rFonts w:ascii="Times New Roman" w:hAnsi="Times New Roman"/>
          <w:color w:val="0F1115"/>
        </w:rPr>
        <w:t xml:space="preserve">root node selection for </w:t>
      </w:r>
      <w:r w:rsidR="00FB2A3C">
        <w:rPr>
          <w:rFonts w:ascii="Times New Roman" w:hAnsi="Times New Roman" w:hint="eastAsia"/>
          <w:color w:val="0F1115"/>
        </w:rPr>
        <w:t>CD8</w:t>
      </w:r>
      <w:r w:rsidR="00FB2A3C" w:rsidRPr="00FB2A3C">
        <w:rPr>
          <w:rFonts w:ascii="Times New Roman" w:hAnsi="Times New Roman" w:hint="eastAsia"/>
          <w:color w:val="0F1115"/>
          <w:vertAlign w:val="superscript"/>
        </w:rPr>
        <w:t>+</w:t>
      </w:r>
      <w:r w:rsidR="00FB2A3C">
        <w:rPr>
          <w:rFonts w:ascii="Times New Roman" w:hAnsi="Times New Roman" w:hint="eastAsia"/>
          <w:color w:val="0F1115"/>
        </w:rPr>
        <w:t xml:space="preserve"> T cells of p</w:t>
      </w:r>
      <w:r w:rsidR="00FB2A3C" w:rsidRPr="00710492">
        <w:rPr>
          <w:rFonts w:ascii="Times New Roman" w:hAnsi="Times New Roman"/>
          <w:color w:val="0F1115"/>
        </w:rPr>
        <w:t>seudotime trajectory</w:t>
      </w:r>
      <w:r w:rsidR="00871EA0">
        <w:rPr>
          <w:rFonts w:ascii="Times New Roman" w:hAnsi="Times New Roman" w:hint="eastAsia"/>
          <w:color w:val="0F1115"/>
        </w:rPr>
        <w:t xml:space="preserve"> </w:t>
      </w:r>
      <w:r w:rsidR="00871EA0" w:rsidRPr="00871EA0">
        <w:rPr>
          <w:rFonts w:ascii="Times New Roman" w:hAnsi="Times New Roman"/>
          <w:color w:val="0F1115"/>
        </w:rPr>
        <w:t>in the C-infection group</w:t>
      </w:r>
      <w:r w:rsidR="00FB2A3C">
        <w:rPr>
          <w:rFonts w:ascii="Times New Roman" w:hAnsi="Times New Roman" w:hint="eastAsia"/>
          <w:color w:val="0F1115"/>
        </w:rPr>
        <w:t>.</w:t>
      </w:r>
      <w:r w:rsidR="00FB2A3C" w:rsidRPr="000A29BC">
        <w:rPr>
          <w:rFonts w:ascii="Times New Roman Bold" w:hAnsi="Times New Roman Bold" w:cs="Times New Roman Bold" w:hint="eastAsia"/>
          <w:b/>
          <w:bCs/>
        </w:rPr>
        <w:t xml:space="preserve"> </w:t>
      </w:r>
      <w:r w:rsidR="000A29BC" w:rsidRPr="000A29BC">
        <w:rPr>
          <w:rFonts w:ascii="Times New Roman Bold" w:hAnsi="Times New Roman Bold" w:cs="Times New Roman Bold" w:hint="eastAsia"/>
          <w:b/>
          <w:bCs/>
        </w:rPr>
        <w:t>d</w:t>
      </w:r>
      <w:r w:rsidR="00871EA0">
        <w:rPr>
          <w:rFonts w:ascii="Times New Roman Bold" w:hAnsi="Times New Roman Bold" w:cs="Times New Roman Bold" w:hint="eastAsia"/>
          <w:b/>
          <w:bCs/>
        </w:rPr>
        <w:t xml:space="preserve"> </w:t>
      </w:r>
      <w:r w:rsidR="00871EA0" w:rsidRPr="00871EA0">
        <w:rPr>
          <w:rFonts w:ascii="Times New Roman" w:hAnsi="Times New Roman" w:cs="Times New Roman"/>
        </w:rPr>
        <w:t>Dot plot showing the biological annotations of the four CD4</w:t>
      </w:r>
      <w:r w:rsidR="00871EA0" w:rsidRPr="00871EA0">
        <w:rPr>
          <w:rFonts w:ascii="Times New Roman" w:hAnsi="Times New Roman" w:cs="Times New Roman"/>
          <w:vertAlign w:val="superscript"/>
        </w:rPr>
        <w:t>+</w:t>
      </w:r>
      <w:r w:rsidR="00871EA0" w:rsidRPr="00871EA0">
        <w:rPr>
          <w:rFonts w:ascii="Times New Roman" w:hAnsi="Times New Roman" w:cs="Times New Roman"/>
        </w:rPr>
        <w:t xml:space="preserve"> T cell clusters</w:t>
      </w:r>
      <w:r w:rsidR="00871EA0">
        <w:rPr>
          <w:rFonts w:ascii="Times New Roman" w:hAnsi="Times New Roman" w:cs="Times New Roman" w:hint="eastAsia"/>
        </w:rPr>
        <w:t>.</w:t>
      </w:r>
      <w:r w:rsidR="00871EA0">
        <w:rPr>
          <w:rFonts w:ascii="Times New Roman Bold" w:hAnsi="Times New Roman Bold" w:cs="Times New Roman Bold" w:hint="eastAsia"/>
          <w:b/>
          <w:bCs/>
        </w:rPr>
        <w:t xml:space="preserve"> </w:t>
      </w:r>
      <w:r w:rsidR="000A29BC">
        <w:rPr>
          <w:rFonts w:ascii="Times New Roman Bold" w:hAnsi="Times New Roman Bold" w:cs="Times New Roman Bold" w:hint="eastAsia"/>
          <w:b/>
          <w:bCs/>
        </w:rPr>
        <w:t>e</w:t>
      </w:r>
      <w:r w:rsidR="00DC5D06">
        <w:rPr>
          <w:rFonts w:ascii="Times New Roman" w:hAnsi="Times New Roman" w:cs="Times New Roman"/>
        </w:rPr>
        <w:t xml:space="preserve"> Pseudotime trajectory plots illustrating CD4</w:t>
      </w:r>
      <w:r w:rsidR="00DC5D06">
        <w:rPr>
          <w:rFonts w:ascii="Times New Roman" w:hAnsi="Times New Roman" w:cs="Times New Roman"/>
          <w:vertAlign w:val="superscript"/>
        </w:rPr>
        <w:t>+</w:t>
      </w:r>
      <w:r w:rsidR="00DC5D06">
        <w:rPr>
          <w:rFonts w:ascii="Times New Roman" w:hAnsi="Times New Roman" w:cs="Times New Roman"/>
        </w:rPr>
        <w:t xml:space="preserve"> T </w:t>
      </w:r>
      <w:r w:rsidR="00DC5D06">
        <w:rPr>
          <w:rFonts w:ascii="Times New Roman" w:hAnsi="Times New Roman" w:cs="Times New Roman" w:hint="eastAsia"/>
        </w:rPr>
        <w:t xml:space="preserve">cell </w:t>
      </w:r>
      <w:r w:rsidR="00DC5D06">
        <w:rPr>
          <w:rFonts w:ascii="Times New Roman" w:hAnsi="Times New Roman" w:cs="Times New Roman"/>
        </w:rPr>
        <w:t>cellular differentiation dynamics across three groups.</w:t>
      </w:r>
      <w:r w:rsidR="00871EA0" w:rsidRPr="00871EA0">
        <w:t xml:space="preserve"> </w:t>
      </w:r>
      <w:r w:rsidR="000A29BC">
        <w:rPr>
          <w:rFonts w:ascii="Times New Roman Bold" w:hAnsi="Times New Roman Bold" w:cs="Times New Roman Bold" w:hint="eastAsia"/>
          <w:b/>
          <w:bCs/>
        </w:rPr>
        <w:t>f</w:t>
      </w:r>
      <w:r w:rsidR="00DC5D06">
        <w:rPr>
          <w:rFonts w:ascii="Times New Roman" w:hAnsi="Times New Roman" w:cs="Times New Roman"/>
        </w:rPr>
        <w:t xml:space="preserve"> Box plots displaying signaling pathway activity scores (acute inflammatory response, Type I and Type II interferon responses) across immune cell subsets, comparing Normal and A-infection (elderly) groups (ns, not significant; p &lt; 0.05, p &lt; 0.01, *p &lt; 0.001, **p &lt; 0.0001). </w:t>
      </w:r>
      <w:r w:rsidR="000A29BC">
        <w:rPr>
          <w:rFonts w:ascii="Times New Roman Bold" w:hAnsi="Times New Roman Bold" w:cs="Times New Roman Bold" w:hint="eastAsia"/>
          <w:b/>
          <w:bCs/>
        </w:rPr>
        <w:t>g</w:t>
      </w:r>
      <w:r w:rsidR="00DC5D06">
        <w:rPr>
          <w:rFonts w:ascii="Times New Roman" w:hAnsi="Times New Roman" w:cs="Times New Roman"/>
        </w:rPr>
        <w:t xml:space="preserve"> Violin plot showing CXCL10, IL1RN and IL1B expression levels across distinct immune cell subsets in A-infection and A-infection (elderly) groups.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C694233" w14:textId="17AF7F55" w:rsidR="004025E4" w:rsidRDefault="001876D6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noProof/>
        </w:rPr>
        <w:lastRenderedPageBreak/>
        <w:drawing>
          <wp:inline distT="0" distB="0" distL="0" distR="0" wp14:anchorId="4D78114F" wp14:editId="284BF48D">
            <wp:extent cx="6188710" cy="3763010"/>
            <wp:effectExtent l="0" t="0" r="2540" b="8890"/>
            <wp:docPr id="1292012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76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87F5B" w14:textId="209A475E" w:rsidR="004025E4" w:rsidRPr="00261828" w:rsidRDefault="00000000" w:rsidP="00261828">
      <w:pPr>
        <w:spacing w:beforeLines="50" w:before="156" w:afterLines="50" w:after="156"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Fig. S7</w:t>
      </w:r>
      <w:r w:rsidR="00345AA5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914C43" w:rsidRPr="00914C43">
        <w:rPr>
          <w:rFonts w:ascii="Times New Roman" w:hAnsi="Times New Roman" w:cs="Times New Roman"/>
          <w:b/>
          <w:bCs/>
          <w:szCs w:val="21"/>
        </w:rPr>
        <w:t>Integrity analysis of host mRNA in plasma</w:t>
      </w:r>
      <w:r w:rsidR="00914C43"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 w:rsidR="00345AA5">
        <w:rPr>
          <w:rFonts w:ascii="Times New Roman Regular" w:hAnsi="Times New Roman Regular" w:cs="Times New Roman Regular" w:hint="eastAsia"/>
          <w:b/>
          <w:bCs/>
        </w:rPr>
        <w:t>a</w:t>
      </w:r>
      <w:r w:rsidR="001876D6">
        <w:rPr>
          <w:rFonts w:ascii="Times New Roman Regular" w:hAnsi="Times New Roman Regular" w:cs="Times New Roman Regular" w:hint="eastAsia"/>
          <w:b/>
          <w:bCs/>
        </w:rPr>
        <w:t>-d</w:t>
      </w:r>
      <w:r w:rsidR="00345AA5">
        <w:rPr>
          <w:rFonts w:ascii="Times New Roman Regular" w:hAnsi="Times New Roman Regular" w:cs="Times New Roman Regular" w:hint="eastAsia"/>
        </w:rPr>
        <w:t xml:space="preserve"> </w:t>
      </w:r>
      <w:r w:rsidR="00345AA5" w:rsidRPr="0058604A">
        <w:rPr>
          <w:rFonts w:ascii="Times New Roman Regular" w:hAnsi="Times New Roman Regular" w:cs="Times New Roman Regular"/>
        </w:rPr>
        <w:t xml:space="preserve">IGV plot showing normalized read counts of </w:t>
      </w:r>
      <w:r w:rsidR="00914C43">
        <w:rPr>
          <w:rFonts w:ascii="Times New Roman Regular" w:hAnsi="Times New Roman Regular" w:cs="Times New Roman Regular" w:hint="eastAsia"/>
        </w:rPr>
        <w:t>CMPK2, ISG15, OTOF and SIGLEC1</w:t>
      </w:r>
      <w:r w:rsidR="00345AA5" w:rsidRPr="0058604A">
        <w:rPr>
          <w:rFonts w:ascii="Times New Roman Regular" w:hAnsi="Times New Roman Regular" w:cs="Times New Roman Regular"/>
        </w:rPr>
        <w:t xml:space="preserve"> genes in plasma</w:t>
      </w:r>
      <w:r w:rsidR="00345AA5">
        <w:rPr>
          <w:rFonts w:ascii="Times New Roman Regular" w:hAnsi="Times New Roman Regular" w:cs="Times New Roman Regular" w:hint="eastAsia"/>
        </w:rPr>
        <w:t>.</w:t>
      </w:r>
    </w:p>
    <w:sectPr w:rsidR="004025E4" w:rsidRPr="00261828" w:rsidSect="00F010DE">
      <w:footerReference w:type="default" r:id="rId14"/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9959E" w14:textId="77777777" w:rsidR="00947CA9" w:rsidRDefault="00947CA9">
      <w:pPr>
        <w:rPr>
          <w:rFonts w:hint="eastAsia"/>
        </w:rPr>
      </w:pPr>
      <w:r>
        <w:separator/>
      </w:r>
    </w:p>
  </w:endnote>
  <w:endnote w:type="continuationSeparator" w:id="0">
    <w:p w14:paraId="6B9F648F" w14:textId="77777777" w:rsidR="00947CA9" w:rsidRDefault="00947CA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"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630837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53B31FF" w14:textId="3EF75FE4" w:rsidR="004A68E8" w:rsidRDefault="004A68E8">
            <w:pPr>
              <w:pStyle w:val="a3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5BF13F" w14:textId="77777777" w:rsidR="004025E4" w:rsidRDefault="004025E4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4E5E6" w14:textId="77777777" w:rsidR="00947CA9" w:rsidRDefault="00947CA9">
      <w:pPr>
        <w:rPr>
          <w:rFonts w:hint="eastAsia"/>
        </w:rPr>
      </w:pPr>
      <w:r>
        <w:separator/>
      </w:r>
    </w:p>
  </w:footnote>
  <w:footnote w:type="continuationSeparator" w:id="0">
    <w:p w14:paraId="356B3EEB" w14:textId="77777777" w:rsidR="00947CA9" w:rsidRDefault="00947CA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EC"/>
    <w:rsid w:val="00003CAD"/>
    <w:rsid w:val="00031C28"/>
    <w:rsid w:val="000328E8"/>
    <w:rsid w:val="00034284"/>
    <w:rsid w:val="00053A9A"/>
    <w:rsid w:val="000574FD"/>
    <w:rsid w:val="000665D6"/>
    <w:rsid w:val="00091942"/>
    <w:rsid w:val="000A29BC"/>
    <w:rsid w:val="0015118E"/>
    <w:rsid w:val="00181C74"/>
    <w:rsid w:val="00184829"/>
    <w:rsid w:val="00185FD6"/>
    <w:rsid w:val="001876D6"/>
    <w:rsid w:val="001903EC"/>
    <w:rsid w:val="001A4A12"/>
    <w:rsid w:val="001D11EE"/>
    <w:rsid w:val="002005C0"/>
    <w:rsid w:val="002545DE"/>
    <w:rsid w:val="00261828"/>
    <w:rsid w:val="002C5E2F"/>
    <w:rsid w:val="002E5CC7"/>
    <w:rsid w:val="002E7CA9"/>
    <w:rsid w:val="003019EB"/>
    <w:rsid w:val="0031203C"/>
    <w:rsid w:val="00312507"/>
    <w:rsid w:val="00334F74"/>
    <w:rsid w:val="00336EAF"/>
    <w:rsid w:val="00344EB3"/>
    <w:rsid w:val="00345AA5"/>
    <w:rsid w:val="00357B89"/>
    <w:rsid w:val="003C54AC"/>
    <w:rsid w:val="003D0463"/>
    <w:rsid w:val="004025E4"/>
    <w:rsid w:val="00405A2E"/>
    <w:rsid w:val="00434165"/>
    <w:rsid w:val="00434A5A"/>
    <w:rsid w:val="004A68E8"/>
    <w:rsid w:val="004B697A"/>
    <w:rsid w:val="0050693A"/>
    <w:rsid w:val="00513008"/>
    <w:rsid w:val="00523A3C"/>
    <w:rsid w:val="0053532F"/>
    <w:rsid w:val="00543087"/>
    <w:rsid w:val="00546C56"/>
    <w:rsid w:val="00562268"/>
    <w:rsid w:val="00585054"/>
    <w:rsid w:val="00595CFE"/>
    <w:rsid w:val="00597B49"/>
    <w:rsid w:val="005B52EA"/>
    <w:rsid w:val="005D1D33"/>
    <w:rsid w:val="005D61CE"/>
    <w:rsid w:val="005E7C8F"/>
    <w:rsid w:val="005F06B4"/>
    <w:rsid w:val="005F42A9"/>
    <w:rsid w:val="006277DE"/>
    <w:rsid w:val="006357F5"/>
    <w:rsid w:val="006D7879"/>
    <w:rsid w:val="006F51EA"/>
    <w:rsid w:val="00704526"/>
    <w:rsid w:val="00740FDD"/>
    <w:rsid w:val="00741E9F"/>
    <w:rsid w:val="0074730C"/>
    <w:rsid w:val="00784E65"/>
    <w:rsid w:val="007C0492"/>
    <w:rsid w:val="007C10BD"/>
    <w:rsid w:val="007E217A"/>
    <w:rsid w:val="00847906"/>
    <w:rsid w:val="00871EA0"/>
    <w:rsid w:val="008A6188"/>
    <w:rsid w:val="008B1C25"/>
    <w:rsid w:val="008B6175"/>
    <w:rsid w:val="008C5D6E"/>
    <w:rsid w:val="008D226E"/>
    <w:rsid w:val="008F1C22"/>
    <w:rsid w:val="00914C43"/>
    <w:rsid w:val="00947CA9"/>
    <w:rsid w:val="00972965"/>
    <w:rsid w:val="009806AB"/>
    <w:rsid w:val="009B2E7A"/>
    <w:rsid w:val="009C17CB"/>
    <w:rsid w:val="009F4425"/>
    <w:rsid w:val="00A058EC"/>
    <w:rsid w:val="00A07E92"/>
    <w:rsid w:val="00A827A9"/>
    <w:rsid w:val="00A9047F"/>
    <w:rsid w:val="00AA2452"/>
    <w:rsid w:val="00AE1898"/>
    <w:rsid w:val="00B149D2"/>
    <w:rsid w:val="00B30320"/>
    <w:rsid w:val="00B40428"/>
    <w:rsid w:val="00B42DC7"/>
    <w:rsid w:val="00B60FD6"/>
    <w:rsid w:val="00B71C93"/>
    <w:rsid w:val="00B80A14"/>
    <w:rsid w:val="00B872D7"/>
    <w:rsid w:val="00BC2BD5"/>
    <w:rsid w:val="00C10E6E"/>
    <w:rsid w:val="00C33EDE"/>
    <w:rsid w:val="00C3488C"/>
    <w:rsid w:val="00C3618F"/>
    <w:rsid w:val="00C41F84"/>
    <w:rsid w:val="00C50F9C"/>
    <w:rsid w:val="00C60661"/>
    <w:rsid w:val="00C63833"/>
    <w:rsid w:val="00C66791"/>
    <w:rsid w:val="00C66AC3"/>
    <w:rsid w:val="00CC3A67"/>
    <w:rsid w:val="00CC58AA"/>
    <w:rsid w:val="00CE08C3"/>
    <w:rsid w:val="00CE2CC1"/>
    <w:rsid w:val="00CE41F3"/>
    <w:rsid w:val="00CE4691"/>
    <w:rsid w:val="00D3074E"/>
    <w:rsid w:val="00D440A4"/>
    <w:rsid w:val="00DC5D06"/>
    <w:rsid w:val="00DD40AD"/>
    <w:rsid w:val="00DE53B7"/>
    <w:rsid w:val="00E0687F"/>
    <w:rsid w:val="00E27974"/>
    <w:rsid w:val="00E755B4"/>
    <w:rsid w:val="00E859AF"/>
    <w:rsid w:val="00E97151"/>
    <w:rsid w:val="00EA3602"/>
    <w:rsid w:val="00F002B7"/>
    <w:rsid w:val="00F010DE"/>
    <w:rsid w:val="00F1200B"/>
    <w:rsid w:val="00F45D72"/>
    <w:rsid w:val="00FB0628"/>
    <w:rsid w:val="00FB2A3C"/>
    <w:rsid w:val="00FB2CB7"/>
    <w:rsid w:val="00FB62E2"/>
    <w:rsid w:val="00FB68F7"/>
    <w:rsid w:val="00FC7313"/>
    <w:rsid w:val="00FE0E0F"/>
    <w:rsid w:val="52F1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FA6D45"/>
  <w15:docId w15:val="{AAC97F72-1A48-4B1B-841E-9F328C9A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360" w:lineRule="auto"/>
      <w:outlineLvl w:val="0"/>
    </w:pPr>
    <w:rPr>
      <w:rFonts w:ascii="Times New Roman" w:eastAsia="Times New Roman" w:hAnsi="Times New Roman" w:cstheme="majorBidi"/>
      <w:b/>
      <w:color w:val="000000" w:themeColor="text1"/>
      <w:sz w:val="36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 w:line="360" w:lineRule="auto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TOC2">
    <w:name w:val="toc 2"/>
    <w:basedOn w:val="a"/>
    <w:next w:val="a"/>
    <w:autoRedefine/>
    <w:uiPriority w:val="39"/>
    <w:unhideWhenUsed/>
    <w:qFormat/>
    <w:pPr>
      <w:ind w:leftChars="200" w:left="420"/>
    </w:pPr>
  </w:style>
  <w:style w:type="paragraph" w:styleId="a9">
    <w:name w:val="Normal (Web)"/>
    <w:basedOn w:val="a"/>
    <w:link w:val="aa"/>
    <w:qFormat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Times New Roman" w:hAnsi="Times New Roman" w:cstheme="majorBidi"/>
      <w:b/>
      <w:color w:val="000000" w:themeColor="text1"/>
      <w:sz w:val="36"/>
      <w:szCs w:val="48"/>
    </w:rPr>
  </w:style>
  <w:style w:type="character" w:customStyle="1" w:styleId="20">
    <w:name w:val="标题 2 字符"/>
    <w:basedOn w:val="a0"/>
    <w:link w:val="2"/>
    <w:uiPriority w:val="9"/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29"/>
    <w:qFormat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2">
    <w:name w:val="明显引用 字符"/>
    <w:basedOn w:val="a0"/>
    <w:link w:val="af1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a">
    <w:name w:val="普通(网站) 字符"/>
    <w:basedOn w:val="a0"/>
    <w:link w:val="a9"/>
    <w:qFormat/>
    <w:rPr>
      <w:rFonts w:cs="Times New Roman"/>
      <w:kern w:val="0"/>
      <w:sz w:val="24"/>
      <w:szCs w:val="2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/>
      <w:b w:val="0"/>
      <w:color w:val="2F5496" w:themeColor="accent1" w:themeShade="BF"/>
      <w:kern w:val="0"/>
      <w:sz w:val="32"/>
      <w:szCs w:val="32"/>
    </w:rPr>
  </w:style>
  <w:style w:type="character" w:styleId="af3">
    <w:name w:val="line number"/>
    <w:basedOn w:val="a0"/>
    <w:uiPriority w:val="99"/>
    <w:semiHidden/>
    <w:unhideWhenUsed/>
    <w:rsid w:val="00F01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E483C-C2D5-4E0D-84A4-D4190B71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864</Words>
  <Characters>4929</Characters>
  <Application>Microsoft Office Word</Application>
  <DocSecurity>0</DocSecurity>
  <Lines>41</Lines>
  <Paragraphs>11</Paragraphs>
  <ScaleCrop>false</ScaleCrop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振宇 杨</dc:creator>
  <cp:lastModifiedBy>振宇 杨</cp:lastModifiedBy>
  <cp:revision>4</cp:revision>
  <cp:lastPrinted>2026-02-05T08:02:00Z</cp:lastPrinted>
  <dcterms:created xsi:type="dcterms:W3CDTF">2026-02-05T08:01:00Z</dcterms:created>
  <dcterms:modified xsi:type="dcterms:W3CDTF">2026-02-05T08:18:00Z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7ead8d61-825a-418e-8eea-403801c45d06</vt:lpwstr>
  </property>
  <property fmtid="{D5CDD505-2E9C-101B-9397-08002B2CF9AE}" pid="3" name="KSOTemplateDocerSaveRecord">
    <vt:lpwstr>eyJoZGlkIjoiN2ZkN2U0NTE2ZWZjNGNkOGYwMTY5ODIwZjEyYjUxNGMiLCJ1c2VySWQiOiI0NTA3MDUwNTMifQ==</vt:lpwstr>
  </property>
  <property fmtid="{D5CDD505-2E9C-101B-9397-08002B2CF9AE}" pid="4" name="KSOProductBuildVer">
    <vt:lpwstr>2052-12.1.0.21541</vt:lpwstr>
  </property>
  <property fmtid="{D5CDD505-2E9C-101B-9397-08002B2CF9AE}" pid="5" name="ICV">
    <vt:lpwstr>7E1B7DD173CA461D84EDA649C5B33418_12</vt:lpwstr>
  </property>
</Properties>
</file>