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7453" w14:textId="42956A77" w:rsidR="00344B92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9735439"/>
      <w:r>
        <w:rPr>
          <w:rFonts w:ascii="Times New Roman" w:eastAsia="等线" w:hAnsi="Times New Roman" w:cs="Times New Roman"/>
          <w:b/>
          <w:bCs/>
          <w:sz w:val="24"/>
          <w:szCs w:val="24"/>
        </w:rPr>
        <w:t>The widely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expressed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fusion protein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CTBS-GNG5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regulates cell cycle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progression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by stabilizing IGF2BP2</w:t>
      </w:r>
    </w:p>
    <w:p w14:paraId="7FC15F27" w14:textId="77777777" w:rsidR="00344B92" w:rsidRDefault="00344B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C548D" w14:textId="16630E10" w:rsidR="00344B92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Running Title: CTBS-GNG5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regulates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cell cycle by stabilizing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IGF2BP2</w:t>
      </w:r>
    </w:p>
    <w:p w14:paraId="2EF488F4" w14:textId="77777777" w:rsidR="00344B92" w:rsidRDefault="00344B92">
      <w:pPr>
        <w:spacing w:line="360" w:lineRule="auto"/>
        <w:rPr>
          <w:rFonts w:ascii="Times New Roman" w:hAnsi="Times New Roman" w:cs="Times New Roman"/>
        </w:rPr>
      </w:pPr>
    </w:p>
    <w:p w14:paraId="7636C969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bookmarkStart w:id="1" w:name="_Hlk210338280"/>
      <w:r>
        <w:rPr>
          <w:rFonts w:ascii="Times New Roman" w:hAnsi="Times New Roman" w:cs="Times New Roman"/>
        </w:rPr>
        <w:t>Liang Cheng</w:t>
      </w:r>
      <w:r>
        <w:rPr>
          <w:rFonts w:ascii="Times New Roman" w:hAnsi="Times New Roman" w:cs="Times New Roman"/>
          <w:vertAlign w:val="superscript"/>
        </w:rPr>
        <w:t xml:space="preserve"> 1,2,</w:t>
      </w:r>
      <w:r>
        <w:rPr>
          <w:rFonts w:ascii="Times New Roman" w:hAnsi="Times New Roman" w:cs="Times New Roman" w:hint="eastAsia"/>
          <w:vertAlign w:val="superscript"/>
        </w:rPr>
        <w:t>4,</w:t>
      </w:r>
      <w:r>
        <w:rPr>
          <w:rFonts w:ascii="Times New Roman" w:hAnsi="Times New Roman" w:cs="Times New Roman"/>
          <w:vertAlign w:val="superscript"/>
        </w:rPr>
        <w:t xml:space="preserve"> #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Jingtong Zhang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6,</w:t>
      </w:r>
      <w:r>
        <w:rPr>
          <w:rFonts w:ascii="Times New Roman" w:hAnsi="Times New Roman" w:cs="Times New Roman"/>
          <w:vertAlign w:val="superscript"/>
        </w:rPr>
        <w:t xml:space="preserve"> #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Xiaole</w:t>
      </w:r>
      <w:r>
        <w:rPr>
          <w:rFonts w:ascii="Times New Roman" w:hAnsi="Times New Roman" w:cs="Times New Roman"/>
        </w:rPr>
        <w:t xml:space="preserve"> Lu</w:t>
      </w:r>
      <w:r>
        <w:rPr>
          <w:rFonts w:ascii="Times New Roman" w:hAnsi="Times New Roman" w:cs="Times New Roman"/>
          <w:vertAlign w:val="superscript"/>
        </w:rPr>
        <w:t>1,2, #</w:t>
      </w:r>
      <w:r>
        <w:rPr>
          <w:rFonts w:ascii="Times New Roman" w:hAnsi="Times New Roman" w:cs="Times New Roman"/>
        </w:rPr>
        <w:t>, Chenwei Yang</w:t>
      </w:r>
      <w:r>
        <w:rPr>
          <w:rFonts w:ascii="Times New Roman" w:hAnsi="Times New Roman" w:cs="Times New Roman"/>
          <w:vertAlign w:val="superscript"/>
        </w:rPr>
        <w:t>1,2, #</w:t>
      </w:r>
      <w:r>
        <w:rPr>
          <w:rFonts w:ascii="Times New Roman" w:hAnsi="Times New Roman" w:cs="Times New Roman"/>
        </w:rPr>
        <w:t>, Fujun Qin</w:t>
      </w:r>
      <w:r>
        <w:rPr>
          <w:rFonts w:ascii="Times New Roman" w:hAnsi="Times New Roman" w:cs="Times New Roman" w:hint="eastAsia"/>
          <w:vertAlign w:val="superscript"/>
        </w:rPr>
        <w:t>8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Yuhang Huang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Ming Huang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Junlin Lu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Sarah Lynch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Justin Elfman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, Ruihui Xie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Shengmeng Peng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Siting Chen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 Baoqing He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</w:t>
      </w:r>
      <w:r>
        <w:rPr>
          <w:rFonts w:ascii="Times New Roman" w:eastAsia="等线" w:hAnsi="Times New Roman" w:cs="Times New Roman"/>
        </w:rPr>
        <w:t xml:space="preserve"> </w:t>
      </w:r>
      <w:r>
        <w:rPr>
          <w:rFonts w:ascii="Times New Roman" w:eastAsia="等线" w:hAnsi="Times New Roman" w:cs="Times New Roman" w:hint="eastAsia"/>
        </w:rPr>
        <w:t>Haifeng Wang</w:t>
      </w:r>
      <w:r>
        <w:rPr>
          <w:rFonts w:ascii="Times New Roman" w:eastAsia="等线" w:hAnsi="Times New Roman" w:cs="Times New Roman" w:hint="eastAsia"/>
          <w:vertAlign w:val="superscript"/>
        </w:rPr>
        <w:t>7</w:t>
      </w:r>
      <w:r>
        <w:rPr>
          <w:rFonts w:ascii="Times New Roman" w:eastAsia="等线" w:hAnsi="Times New Roman" w:cs="Times New Roman" w:hint="eastAsia"/>
        </w:rPr>
        <w:t>,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ianxin</w:t>
      </w:r>
      <w:r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</w:rPr>
        <w:t>, Hui Li</w:t>
      </w:r>
      <w:r>
        <w:rPr>
          <w:rFonts w:ascii="Times New Roman" w:hAnsi="Times New Roman" w:cs="Times New Roman" w:hint="eastAsia"/>
          <w:vertAlign w:val="superscript"/>
        </w:rPr>
        <w:t xml:space="preserve">3,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, Jian Huang </w:t>
      </w:r>
      <w:r>
        <w:rPr>
          <w:rFonts w:ascii="Times New Roman" w:hAnsi="Times New Roman" w:cs="Times New Roman"/>
          <w:vertAlign w:val="superscript"/>
        </w:rPr>
        <w:t>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, *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Xu Chen</w:t>
      </w:r>
      <w:r>
        <w:rPr>
          <w:rFonts w:ascii="Times New Roman" w:hAnsi="Times New Roman" w:cs="Times New Roman"/>
          <w:vertAlign w:val="superscript"/>
        </w:rPr>
        <w:t xml:space="preserve"> 1,2,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.</w:t>
      </w:r>
    </w:p>
    <w:bookmarkEnd w:id="1"/>
    <w:p w14:paraId="2ED9BA01" w14:textId="77777777" w:rsidR="00344B92" w:rsidRDefault="00344B9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191C0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Department of Urology, Sun Yat-sen Memorial Hospital, Sun Yat-sen University, Guangzhou, Guangdong, P. R. China</w:t>
      </w:r>
      <w:r>
        <w:rPr>
          <w:rFonts w:ascii="Times New Roman" w:hAnsi="Times New Roman" w:cs="Times New Roman" w:hint="eastAsia"/>
        </w:rPr>
        <w:t>.</w:t>
      </w:r>
    </w:p>
    <w:p w14:paraId="2A016757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2 </w:t>
      </w:r>
      <w:r>
        <w:rPr>
          <w:rFonts w:ascii="Times New Roman" w:hAnsi="Times New Roman" w:cs="Times New Roman"/>
        </w:rPr>
        <w:t>Guangdong Provincial Key Laboratory of Malignant Tumor Epigenetics and Gene Regulation, Sun Yat-sen Memorial Hospital, State Key Laboratory of Oncology in South China, Guangzhou, Guangdong, P. R. China.</w:t>
      </w:r>
    </w:p>
    <w:p w14:paraId="12E6405C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bookmarkStart w:id="2" w:name="OLE_LINK11"/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 Department of Pathology</w:t>
      </w:r>
      <w:bookmarkEnd w:id="2"/>
      <w:r>
        <w:rPr>
          <w:rFonts w:ascii="Times New Roman" w:hAnsi="Times New Roman" w:cs="Times New Roman"/>
        </w:rPr>
        <w:t>, School of Medicine, University of Virginia, Charlottesville, VA 22908, USA</w:t>
      </w:r>
      <w:r>
        <w:rPr>
          <w:rFonts w:ascii="Times New Roman" w:hAnsi="Times New Roman" w:cs="Times New Roman" w:hint="eastAsia"/>
        </w:rPr>
        <w:t>.</w:t>
      </w:r>
    </w:p>
    <w:p w14:paraId="263FD567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 xml:space="preserve"> Guangdong Provincial Clinical Research Center for Urological Diseases, Guangzhou, Guangdong, P. R. China</w:t>
      </w:r>
      <w:r>
        <w:rPr>
          <w:rFonts w:ascii="Times New Roman" w:hAnsi="Times New Roman" w:cs="Times New Roman" w:hint="eastAsia"/>
        </w:rPr>
        <w:t>.</w:t>
      </w:r>
    </w:p>
    <w:p w14:paraId="79EA8AEF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 Department of Urology, Sun Yat-sen University Cancer Center, Sun Yat-sen University, Guangzhou, China</w:t>
      </w:r>
    </w:p>
    <w:p w14:paraId="35E0EDB5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 State Key Laboratory of Oncology in Southern China, Collaborative Innovation Center of Cancer Medicine, Guangzhou, China.</w:t>
      </w:r>
    </w:p>
    <w:bookmarkEnd w:id="0"/>
    <w:p w14:paraId="110C0E66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 Department of Urology, The Second Affiliated Hospital of Kunming Medical University, Kunming, China.</w:t>
      </w:r>
    </w:p>
    <w:p w14:paraId="16912A23" w14:textId="7777777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8 </w:t>
      </w:r>
      <w:r>
        <w:rPr>
          <w:rFonts w:ascii="Times New Roman" w:hAnsi="Times New Roman" w:cs="Times New Roman"/>
        </w:rPr>
        <w:t>State Key Laboratory of Metabolic Dysregulation &amp; Prevention and Treatment of Esophageal Cancer, Tianjian Laboratory of Advanced Biomedical Sciences, Academy of Medical Sciences, Zhengzhou University, Zhengzhou, China</w:t>
      </w:r>
    </w:p>
    <w:p w14:paraId="5A0A3457" w14:textId="77777777" w:rsidR="00344B92" w:rsidRDefault="00344B92">
      <w:pPr>
        <w:spacing w:line="360" w:lineRule="auto"/>
        <w:rPr>
          <w:rFonts w:ascii="Times New Roman" w:hAnsi="Times New Roman" w:cs="Times New Roman"/>
        </w:rPr>
      </w:pPr>
    </w:p>
    <w:p w14:paraId="527B8821" w14:textId="4AB89587" w:rsidR="00344B92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# Liang Cheng, </w:t>
      </w:r>
      <w:r>
        <w:rPr>
          <w:rFonts w:ascii="Times New Roman" w:hAnsi="Times New Roman" w:cs="Times New Roman" w:hint="eastAsia"/>
        </w:rPr>
        <w:t>Jingtong Zhang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Xiaole</w:t>
      </w:r>
      <w:r>
        <w:rPr>
          <w:rFonts w:ascii="Times New Roman" w:hAnsi="Times New Roman" w:cs="Times New Roman"/>
        </w:rPr>
        <w:t xml:space="preserve"> Lu and Chenwei Yang contributed equally to this work.</w:t>
      </w:r>
    </w:p>
    <w:p w14:paraId="682228F6" w14:textId="77777777" w:rsidR="00344B92" w:rsidRDefault="0000000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*Corresponding to:</w:t>
      </w:r>
    </w:p>
    <w:p w14:paraId="018A5072" w14:textId="77777777" w:rsidR="00344B92" w:rsidRDefault="0000000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Xu Chen, Department of Urology, Sun Yat-sen Memorial Hospital, 107th Yanjiangxi Road, Guangzhou, China, E-mail: chenx457@mail.sysu.edu.cn;</w:t>
      </w:r>
    </w:p>
    <w:p w14:paraId="323CC82F" w14:textId="77777777" w:rsidR="00344B92" w:rsidRDefault="0000000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Jian Huang, E-mail: </w:t>
      </w:r>
      <w:hyperlink r:id="rId6" w:history="1">
        <w:r w:rsidR="00344B92">
          <w:rPr>
            <w:rStyle w:val="ad"/>
            <w:rFonts w:ascii="Times New Roman" w:hAnsi="Times New Roman" w:cs="Times New Roman" w:hint="eastAsia"/>
          </w:rPr>
          <w:t>huangj8@mail.sysu.edu.cn</w:t>
        </w:r>
      </w:hyperlink>
      <w:r>
        <w:rPr>
          <w:rFonts w:ascii="Times New Roman" w:hAnsi="Times New Roman" w:cs="Times New Roman" w:hint="eastAsia"/>
        </w:rPr>
        <w:t xml:space="preserve">; </w:t>
      </w:r>
    </w:p>
    <w:p w14:paraId="60D87157" w14:textId="77777777" w:rsidR="00344B92" w:rsidRDefault="0000000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Hui Li, E-mail: hl9r@virginia.edu.</w:t>
      </w:r>
      <w:r>
        <w:rPr>
          <w:rFonts w:ascii="Times New Roman" w:hAnsi="Times New Roman" w:cs="Times New Roman"/>
        </w:rPr>
        <w:br w:type="page"/>
      </w:r>
    </w:p>
    <w:p w14:paraId="6A80F9C5" w14:textId="77777777" w:rsidR="00344B92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legends</w:t>
      </w:r>
    </w:p>
    <w:p w14:paraId="70FAF6F2" w14:textId="133FCD9D" w:rsidR="00344B92" w:rsidRDefault="00CD339F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BE0F53" wp14:editId="516F035B">
            <wp:extent cx="5274310" cy="2759075"/>
            <wp:effectExtent l="0" t="0" r="2540" b="3175"/>
            <wp:docPr id="11906175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8FD5" w14:textId="77777777" w:rsidR="00344B92" w:rsidRDefault="00000000">
      <w:pPr>
        <w:pStyle w:val="pf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/>
          <w:color w:val="auto"/>
        </w:rPr>
        <w:t>Figure S1.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 xml:space="preserve">he chimeric RNA </w:t>
      </w:r>
      <w:r>
        <w:rPr>
          <w:rFonts w:ascii="Times New Roman" w:hAnsi="Times New Roman" w:cs="Times New Roman"/>
          <w:b/>
          <w:bCs/>
          <w:i/>
          <w:iCs/>
        </w:rPr>
        <w:t>CTBS-GNG5</w:t>
      </w:r>
      <w:r>
        <w:rPr>
          <w:rFonts w:ascii="Times New Roman" w:hAnsi="Times New Roman" w:cs="Times New Roman"/>
          <w:b/>
          <w:bCs/>
        </w:rPr>
        <w:t xml:space="preserve"> is a product of cis-splicing between adjacent genes (cis-SAGe).</w:t>
      </w:r>
    </w:p>
    <w:p w14:paraId="4FFACA33" w14:textId="77777777" w:rsidR="00344B92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Expression levels of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CTBS-GNG5</w:t>
      </w:r>
      <w:r>
        <w:rPr>
          <w:rFonts w:ascii="Times New Roman" w:hAnsi="Times New Roman" w:cs="Times New Roman"/>
          <w:sz w:val="24"/>
          <w:szCs w:val="24"/>
        </w:rPr>
        <w:t xml:space="preserve"> were assessed </w:t>
      </w:r>
      <w:r>
        <w:rPr>
          <w:rFonts w:ascii="Times New Roman" w:eastAsia="等线" w:hAnsi="Times New Roman" w:cs="Times New Roman"/>
          <w:sz w:val="24"/>
          <w:szCs w:val="24"/>
        </w:rPr>
        <w:t>via RT‒PCR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  <w:lang w:val="en-US"/>
        </w:rPr>
        <w:t>HEK</w:t>
      </w:r>
      <w:r>
        <w:rPr>
          <w:rFonts w:ascii="Times New Roman" w:hAnsi="Times New Roman" w:cs="Times New Roman" w:hint="eastAsia"/>
          <w:sz w:val="24"/>
          <w:szCs w:val="24"/>
        </w:rPr>
        <w:t xml:space="preserve">293T </w:t>
      </w:r>
      <w:r>
        <w:rPr>
          <w:rFonts w:ascii="Times New Roman" w:hAnsi="Times New Roman" w:cs="Times New Roman"/>
          <w:sz w:val="24"/>
          <w:szCs w:val="24"/>
        </w:rPr>
        <w:t>cells.</w:t>
      </w:r>
      <w:r>
        <w:rPr>
          <w:rFonts w:ascii="Times New Roman" w:hAnsi="Times New Roman" w:cs="Times New Roman" w:hint="eastAsia"/>
          <w:sz w:val="24"/>
          <w:szCs w:val="24"/>
        </w:rPr>
        <w:t xml:space="preserve"> (B) </w:t>
      </w:r>
      <w:r>
        <w:rPr>
          <w:rFonts w:ascii="Times New Roman" w:hAnsi="Times New Roman" w:cs="Times New Roman"/>
          <w:sz w:val="24"/>
          <w:szCs w:val="24"/>
        </w:rPr>
        <w:t>Schematic showing cis-splicing between adjacent genes (cis-SAGe). Blocks represent exons, while lines represent introns or intergenic regions. The</w:t>
      </w:r>
      <w:r>
        <w:rPr>
          <w:rFonts w:ascii="Times New Roman" w:hAnsi="Times New Roman" w:cs="Times New Roman" w:hint="eastAsia"/>
          <w:sz w:val="24"/>
          <w:szCs w:val="24"/>
        </w:rPr>
        <w:t xml:space="preserve"> red </w:t>
      </w:r>
      <w:r>
        <w:rPr>
          <w:rFonts w:ascii="Times New Roman" w:hAnsi="Times New Roman" w:cs="Times New Roman"/>
          <w:sz w:val="24"/>
          <w:szCs w:val="24"/>
        </w:rPr>
        <w:t>arrowhead indicates the oligo used for reverse transcription. The primers E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-F and I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-R anneal to exon 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and intron 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CTBS</w:t>
      </w:r>
      <w:r>
        <w:rPr>
          <w:rFonts w:ascii="Times New Roman" w:hAnsi="Times New Roman" w:cs="Times New Roman"/>
          <w:sz w:val="24"/>
          <w:szCs w:val="24"/>
        </w:rPr>
        <w:t xml:space="preserve">, respectively. </w:t>
      </w:r>
      <w:bookmarkStart w:id="3" w:name="OLE_LINK1"/>
      <w:r>
        <w:rPr>
          <w:rFonts w:ascii="Times New Roman" w:hAnsi="Times New Roman" w:cs="Times New Roman" w:hint="eastAsia"/>
          <w:sz w:val="24"/>
          <w:szCs w:val="24"/>
        </w:rPr>
        <w:t>(C)</w:t>
      </w:r>
      <w:bookmarkEnd w:id="3"/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Illustration of the experimental design for RT-PCR. (D) Gel electrophoresis image of qRT-PCR products generated using different annealing oligonucleotides for reverse transcription. Cells were divided into two groups: one treated with avian myeloblastosis virus reverse transcriptase (AMV-RT) and the other without enzyme treatment. The expected amplification product was detected only in samples that included AMV-RT, confirming the specificity of the reverse transcription process.</w:t>
      </w:r>
    </w:p>
    <w:p w14:paraId="632BEEFA" w14:textId="79EE9E79" w:rsidR="00344B92" w:rsidRDefault="00CD339F">
      <w:pPr>
        <w:spacing w:line="360" w:lineRule="auto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B3EBEA" wp14:editId="62FAFAA9">
            <wp:extent cx="5274310" cy="6363970"/>
            <wp:effectExtent l="0" t="0" r="2540" b="0"/>
            <wp:docPr id="1865335638" name="图片 2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35638" name="图片 2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CE9B" w14:textId="77777777" w:rsidR="00344B92" w:rsidRDefault="00000000">
      <w:pPr>
        <w:pStyle w:val="pf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2</w:t>
      </w:r>
      <w:r>
        <w:rPr>
          <w:rStyle w:val="fontstyle01"/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b/>
          <w:bCs/>
        </w:rPr>
        <w:t xml:space="preserve"> The expression of the chimeric RNA </w:t>
      </w:r>
      <w:r>
        <w:rPr>
          <w:rFonts w:ascii="Times New Roman" w:hAnsi="Times New Roman" w:cs="Times New Roman"/>
          <w:b/>
          <w:bCs/>
          <w:i/>
          <w:iCs/>
        </w:rPr>
        <w:t>CTBS-GNG5</w:t>
      </w:r>
      <w:r>
        <w:rPr>
          <w:rFonts w:ascii="Times New Roman" w:hAnsi="Times New Roman" w:cs="Times New Roman"/>
          <w:b/>
          <w:bCs/>
        </w:rPr>
        <w:t xml:space="preserve"> in the GTEx databases.</w:t>
      </w:r>
    </w:p>
    <w:p w14:paraId="53B1C55B" w14:textId="77777777" w:rsidR="00344B92" w:rsidRDefault="000000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(A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-B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>
        <w:rPr>
          <w:rFonts w:hint="eastAsia"/>
        </w:rPr>
        <w:t xml:space="preserve"> </w:t>
      </w:r>
      <w:bookmarkStart w:id="4" w:name="_Hlk212578710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The expression of chimeric RNA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CTBS-GNG5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transcripts was detected in samples from the GTEx database.</w:t>
      </w:r>
    </w:p>
    <w:bookmarkEnd w:id="4"/>
    <w:p w14:paraId="65ED24F9" w14:textId="1FD37827" w:rsidR="00344B92" w:rsidRDefault="00CD339F">
      <w:pPr>
        <w:pStyle w:val="pf0"/>
        <w:spacing w:line="360" w:lineRule="auto"/>
        <w:rPr>
          <w:rStyle w:val="fontstyle01"/>
          <w:rFonts w:ascii="Times New Roman" w:hAnsi="Times New Roman" w:cs="Times New Roman"/>
          <w:color w:val="auto"/>
        </w:rPr>
      </w:pPr>
      <w:r>
        <w:rPr>
          <w:noProof/>
        </w:rPr>
        <w:lastRenderedPageBreak/>
        <w:drawing>
          <wp:inline distT="0" distB="0" distL="0" distR="0" wp14:anchorId="0695B061" wp14:editId="5EAB0C12">
            <wp:extent cx="5274310" cy="2310130"/>
            <wp:effectExtent l="0" t="0" r="2540" b="0"/>
            <wp:docPr id="166557635" name="图片 3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7635" name="图片 3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5A65" w14:textId="77777777" w:rsidR="00344B92" w:rsidRDefault="00000000">
      <w:pPr>
        <w:pStyle w:val="pf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3</w:t>
      </w:r>
      <w:r>
        <w:rPr>
          <w:rStyle w:val="fontstyle01"/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The expression of the chimeric RNA </w:t>
      </w:r>
      <w:r>
        <w:rPr>
          <w:rFonts w:ascii="Times New Roman" w:hAnsi="Times New Roman" w:cs="Times New Roman"/>
          <w:b/>
          <w:bCs/>
          <w:i/>
          <w:iCs/>
        </w:rPr>
        <w:t>CTBS-GNG5</w:t>
      </w:r>
      <w:r>
        <w:rPr>
          <w:rFonts w:ascii="Times New Roman" w:hAnsi="Times New Roman" w:cs="Times New Roman"/>
          <w:b/>
          <w:bCs/>
        </w:rPr>
        <w:t xml:space="preserve"> in the </w:t>
      </w:r>
      <w:r>
        <w:rPr>
          <w:rFonts w:ascii="Times New Roman" w:hAnsi="Times New Roman" w:cs="Times New Roman" w:hint="eastAsia"/>
          <w:b/>
          <w:bCs/>
        </w:rPr>
        <w:t xml:space="preserve">TCGA </w:t>
      </w:r>
      <w:r>
        <w:rPr>
          <w:rFonts w:ascii="Times New Roman" w:hAnsi="Times New Roman" w:cs="Times New Roman"/>
          <w:b/>
          <w:bCs/>
        </w:rPr>
        <w:t>databases.</w:t>
      </w:r>
    </w:p>
    <w:p w14:paraId="6988AAC8" w14:textId="77777777" w:rsidR="00344B92" w:rsidRDefault="000000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The expression of chimeric RNA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CTBS-GNG5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transcripts was detected in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cancer (red) and matched normal (blue)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samples from the TCGA database.</w:t>
      </w:r>
    </w:p>
    <w:p w14:paraId="3B0CAF8C" w14:textId="199C1DEB" w:rsidR="00344B92" w:rsidRDefault="00CD339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D9B288" wp14:editId="0B733AFF">
            <wp:extent cx="5274310" cy="6597650"/>
            <wp:effectExtent l="0" t="0" r="2540" b="0"/>
            <wp:docPr id="1828534044" name="图片 4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34044" name="图片 4" descr="日历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74F1F" w14:textId="77777777" w:rsidR="00344B92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4</w:t>
      </w:r>
      <w:r>
        <w:rPr>
          <w:rStyle w:val="fontstyle01"/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5" w:name="_Hlk209739882"/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Characterization of the chimeric RNA </w:t>
      </w:r>
      <w:r>
        <w:rPr>
          <w:rFonts w:ascii="Times New Roman" w:eastAsia="等线" w:hAnsi="Times New Roman" w:cs="Times New Roman" w:hint="eastAsia"/>
          <w:b/>
          <w:bCs/>
          <w:i/>
          <w:iCs/>
          <w:sz w:val="24"/>
          <w:szCs w:val="24"/>
        </w:rPr>
        <w:t>CTBS-GNG5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and its antibody-specific targeted fusion protein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</w:p>
    <w:bookmarkEnd w:id="5"/>
    <w:p w14:paraId="43633A1E" w14:textId="77777777" w:rsidR="00344B92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Amino acid sequence alignment of the fusion protein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CTBS-GNG5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with its parental proteins.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(B) Representative immunohistochemistry images showing CTBS-GNG5 expression in paraffin-embedded normal and cancer tissues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Scale bar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indicate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µm (black) and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µm (red).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 xml:space="preserve">C) Protein levels of </w:t>
      </w:r>
      <w:r>
        <w:rPr>
          <w:rFonts w:ascii="Times New Roman" w:hAnsi="Times New Roman" w:cs="Times New Roman"/>
          <w:sz w:val="24"/>
          <w:szCs w:val="24"/>
        </w:rPr>
        <w:t>CTBS-GNG5</w:t>
      </w:r>
      <w:r>
        <w:rPr>
          <w:rFonts w:ascii="Times New Roman" w:hAnsi="Times New Roman" w:cs="Times New Roman" w:hint="eastAsia"/>
          <w:sz w:val="24"/>
          <w:szCs w:val="24"/>
        </w:rPr>
        <w:t xml:space="preserve"> in normal and cancer tissues</w:t>
      </w:r>
      <w:r>
        <w:rPr>
          <w:rFonts w:ascii="Times New Roman" w:hAnsi="Times New Roman" w:cs="Times New Roman"/>
          <w:sz w:val="24"/>
          <w:szCs w:val="24"/>
        </w:rPr>
        <w:t xml:space="preserve"> quantified from (B). Red bars indicate normal (N) tissue and blue bars indicate </w:t>
      </w:r>
      <w:r>
        <w:rPr>
          <w:rFonts w:ascii="Times New Roman" w:hAnsi="Times New Roman" w:cs="Times New Roman"/>
          <w:sz w:val="24"/>
          <w:szCs w:val="24"/>
        </w:rPr>
        <w:lastRenderedPageBreak/>
        <w:t>tumor (T) tissue.</w:t>
      </w:r>
    </w:p>
    <w:p w14:paraId="50B9736E" w14:textId="15AD330C" w:rsidR="00344B92" w:rsidRDefault="00CD33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AD77AE" wp14:editId="36E1B1EA">
            <wp:extent cx="5274310" cy="4157980"/>
            <wp:effectExtent l="0" t="0" r="2540" b="0"/>
            <wp:docPr id="636736673" name="图片 5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36673" name="图片 5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E1754" w14:textId="77777777" w:rsidR="00344B92" w:rsidRDefault="00000000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5</w:t>
      </w:r>
      <w:r>
        <w:rPr>
          <w:rStyle w:val="fontstyle01"/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Validation of the expression of chimeric RNA 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its parental genes in 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-silenced cells</w:t>
      </w:r>
    </w:p>
    <w:p w14:paraId="6721DF95" w14:textId="77777777" w:rsidR="00344B92" w:rsidRDefault="00000000">
      <w:pPr>
        <w:pStyle w:val="pf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qRT-PCR analysis was performed to assess the expression levels of </w:t>
      </w:r>
      <w:r>
        <w:rPr>
          <w:rFonts w:ascii="Times New Roman" w:hAnsi="Times New Roman" w:cs="Times New Roman" w:hint="eastAsia"/>
          <w:i/>
          <w:iCs/>
        </w:rPr>
        <w:t xml:space="preserve">CTBS-GNG5 </w:t>
      </w:r>
      <w:r>
        <w:rPr>
          <w:rFonts w:ascii="Times New Roman" w:hAnsi="Times New Roman" w:cs="Times New Roman" w:hint="eastAsia"/>
        </w:rPr>
        <w:t xml:space="preserve">and its parental genes in </w:t>
      </w:r>
      <w:r>
        <w:rPr>
          <w:rFonts w:ascii="Times New Roman" w:hAnsi="Times New Roman" w:cs="Times New Roman" w:hint="eastAsia"/>
          <w:i/>
          <w:iCs/>
        </w:rPr>
        <w:t>CTBS-GNG5</w:t>
      </w:r>
      <w:r>
        <w:rPr>
          <w:rFonts w:ascii="Times New Roman" w:hAnsi="Times New Roman" w:cs="Times New Roman" w:hint="eastAsia"/>
        </w:rPr>
        <w:t>-silenced</w:t>
      </w:r>
      <w:r>
        <w:rPr>
          <w:rFonts w:ascii="Times New Roman" w:hAnsi="Times New Roman" w:cs="Times New Roman"/>
        </w:rPr>
        <w:t xml:space="preserve"> (si-C-G)</w:t>
      </w:r>
      <w:r>
        <w:rPr>
          <w:rFonts w:ascii="Times New Roman" w:hAnsi="Times New Roman" w:cs="Times New Roman" w:hint="eastAsia"/>
        </w:rPr>
        <w:t xml:space="preserve"> versus control </w:t>
      </w:r>
      <w:r>
        <w:rPr>
          <w:rFonts w:ascii="Times New Roman" w:hAnsi="Times New Roman" w:cs="Times New Roman"/>
        </w:rPr>
        <w:t xml:space="preserve">(si-NC) </w:t>
      </w:r>
      <w:r>
        <w:rPr>
          <w:rFonts w:ascii="Times New Roman" w:hAnsi="Times New Roman" w:cs="Times New Roman" w:hint="eastAsia"/>
        </w:rPr>
        <w:t xml:space="preserve">UM-UC-3, A549, MDA-MB-231, PC3, HepG2, SV-HUC-1, BEAS-2B, and WPMY-1 cell lines.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 xml:space="preserve">Western blot analysis of </w:t>
      </w:r>
      <w:r>
        <w:rPr>
          <w:rFonts w:ascii="Times New Roman" w:hAnsi="Times New Roman" w:cs="Times New Roman"/>
        </w:rPr>
        <w:t>CTBS-GNG5</w:t>
      </w:r>
      <w:r>
        <w:rPr>
          <w:rFonts w:ascii="Times New Roman" w:hAnsi="Times New Roman" w:cs="Times New Roman" w:hint="eastAsia"/>
        </w:rPr>
        <w:t xml:space="preserve"> expression in </w:t>
      </w:r>
      <w:r>
        <w:rPr>
          <w:rFonts w:ascii="Times New Roman" w:hAnsi="Times New Roman" w:cs="Times New Roman" w:hint="eastAsia"/>
          <w:i/>
          <w:iCs/>
        </w:rPr>
        <w:t>CTBS-GNG5</w:t>
      </w:r>
      <w:r>
        <w:rPr>
          <w:rFonts w:ascii="Times New Roman" w:hAnsi="Times New Roman" w:cs="Times New Roman" w:hint="eastAsia"/>
        </w:rPr>
        <w:t>-knockdown or control UM-UC-3, A549, MDA-MB-231, PC3, HepG2, SV-HUC-1, BEAS-2B, and WPMY-1 cells.</w:t>
      </w:r>
      <w:r>
        <w:rPr>
          <w:rFonts w:ascii="Times New Roman" w:hAnsi="Times New Roman" w:cs="Times New Roman"/>
        </w:rPr>
        <w:t xml:space="preserve"> The data are expressed as the means ± SDs. Statistical significance was determined by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two-way ANOVA with Tukey’s post hoc test 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ns indicates not statistically significant.</w:t>
      </w:r>
    </w:p>
    <w:p w14:paraId="198B50E4" w14:textId="291168EA" w:rsidR="00344B92" w:rsidRDefault="00CD339F">
      <w:pPr>
        <w:spacing w:line="360" w:lineRule="auto"/>
        <w:rPr>
          <w:rStyle w:val="fontstyle01"/>
          <w:rFonts w:ascii="Times New Roman" w:hAnsi="Times New Roman" w:cs="Times New Roman"/>
          <w:color w:val="auto"/>
        </w:rPr>
      </w:pPr>
      <w:r>
        <w:rPr>
          <w:noProof/>
        </w:rPr>
        <w:lastRenderedPageBreak/>
        <w:drawing>
          <wp:inline distT="0" distB="0" distL="0" distR="0" wp14:anchorId="47F09363" wp14:editId="51369AE9">
            <wp:extent cx="5290834" cy="2003223"/>
            <wp:effectExtent l="0" t="0" r="5080" b="0"/>
            <wp:docPr id="758923274" name="图片 7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23274" name="图片 7" descr="图表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13" b="5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34" cy="200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AF4AD" w14:textId="77777777" w:rsidR="00344B9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6</w:t>
      </w:r>
      <w:r>
        <w:rPr>
          <w:rStyle w:val="fontstyle01"/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Knockdown of 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did not affect cell apoptosis or migration.</w:t>
      </w:r>
    </w:p>
    <w:p w14:paraId="09794D05" w14:textId="77777777" w:rsidR="00344B92" w:rsidRDefault="00000000">
      <w:pPr>
        <w:pStyle w:val="pf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</w:rPr>
        <w:t>(</w:t>
      </w:r>
      <w:r>
        <w:rPr>
          <w:rFonts w:ascii="Times New Roman" w:eastAsia="等线" w:hAnsi="Times New Roman" w:cs="Times New Roman" w:hint="eastAsia"/>
        </w:rPr>
        <w:t>A</w:t>
      </w:r>
      <w:r>
        <w:rPr>
          <w:rFonts w:ascii="Times New Roman" w:eastAsia="等线" w:hAnsi="Times New Roman" w:cs="Times New Roman"/>
        </w:rPr>
        <w:t xml:space="preserve">) Quantification of cell apoptosis in </w:t>
      </w:r>
      <w:r>
        <w:rPr>
          <w:rFonts w:ascii="Times New Roman" w:eastAsia="等线" w:hAnsi="Times New Roman" w:cs="Times New Roman" w:hint="eastAsia"/>
        </w:rPr>
        <w:t>A549, BEAS-2B</w:t>
      </w:r>
      <w:r>
        <w:rPr>
          <w:rFonts w:ascii="Times New Roman" w:eastAsia="等线" w:hAnsi="Times New Roman" w:cs="Times New Roman"/>
        </w:rPr>
        <w:t>,</w:t>
      </w:r>
      <w:r>
        <w:rPr>
          <w:rFonts w:ascii="Times New Roman" w:eastAsia="等线" w:hAnsi="Times New Roman" w:cs="Times New Roman" w:hint="eastAsia"/>
        </w:rPr>
        <w:t xml:space="preserve"> and MDA-MB-231</w:t>
      </w:r>
      <w:r>
        <w:rPr>
          <w:rFonts w:ascii="Times New Roman" w:eastAsia="等线" w:hAnsi="Times New Roman" w:cs="Times New Roman"/>
        </w:rPr>
        <w:t xml:space="preserve"> cells with knockdown of </w:t>
      </w:r>
      <w:r w:rsidRPr="002C5DC9">
        <w:rPr>
          <w:rFonts w:ascii="Times New Roman" w:eastAsia="等线" w:hAnsi="Times New Roman" w:cs="Times New Roman"/>
          <w:i/>
          <w:iCs/>
        </w:rPr>
        <w:t>CTBS-GNG</w:t>
      </w:r>
      <w:r w:rsidRPr="002C5DC9">
        <w:rPr>
          <w:rFonts w:ascii="Times New Roman" w:eastAsia="等线" w:hAnsi="Times New Roman" w:cs="Times New Roman"/>
          <w:i/>
          <w:iCs/>
          <w:lang w:val="en-US"/>
        </w:rPr>
        <w:t>5</w:t>
      </w:r>
      <w:r>
        <w:rPr>
          <w:rFonts w:ascii="Times New Roman" w:eastAsia="等线" w:hAnsi="Times New Roman" w:cs="Times New Roman"/>
        </w:rPr>
        <w:t>. (B</w:t>
      </w:r>
      <w:r>
        <w:rPr>
          <w:rFonts w:ascii="Times New Roman" w:eastAsia="等线" w:hAnsi="Times New Roman" w:cs="Times New Roman" w:hint="eastAsia"/>
        </w:rPr>
        <w:t>-</w:t>
      </w:r>
      <w:r>
        <w:rPr>
          <w:rFonts w:ascii="Times New Roman" w:eastAsia="等线" w:hAnsi="Times New Roman" w:cs="Times New Roman"/>
        </w:rPr>
        <w:t>C)</w:t>
      </w:r>
      <w:r>
        <w:rPr>
          <w:rFonts w:ascii="Times New Roman" w:eastAsia="等线" w:hAnsi="Times New Roman" w:cs="Times New Roman" w:hint="eastAsia"/>
        </w:rPr>
        <w:t xml:space="preserve"> Representative images</w:t>
      </w:r>
      <w:r>
        <w:rPr>
          <w:rFonts w:ascii="Times New Roman" w:eastAsia="等线" w:hAnsi="Times New Roman" w:cs="Times New Roman"/>
        </w:rPr>
        <w:t xml:space="preserve"> (B)</w:t>
      </w:r>
      <w:r>
        <w:rPr>
          <w:rFonts w:ascii="Times New Roman" w:eastAsia="等线" w:hAnsi="Times New Roman" w:cs="Times New Roman" w:hint="eastAsia"/>
        </w:rPr>
        <w:t xml:space="preserve"> and </w:t>
      </w:r>
      <w:r>
        <w:rPr>
          <w:rFonts w:ascii="Times New Roman" w:eastAsia="等线" w:hAnsi="Times New Roman" w:cs="Times New Roman"/>
        </w:rPr>
        <w:t>quantification (C)</w:t>
      </w:r>
      <w:r>
        <w:rPr>
          <w:rFonts w:ascii="Times New Roman" w:eastAsia="等线" w:hAnsi="Times New Roman" w:cs="Times New Roman" w:hint="eastAsia"/>
        </w:rPr>
        <w:t xml:space="preserve"> illustrating the migration of A549, BEAS-2B</w:t>
      </w:r>
      <w:r>
        <w:rPr>
          <w:rFonts w:ascii="Times New Roman" w:eastAsia="等线" w:hAnsi="Times New Roman" w:cs="Times New Roman"/>
        </w:rPr>
        <w:t>,</w:t>
      </w:r>
      <w:r>
        <w:rPr>
          <w:rFonts w:ascii="Times New Roman" w:eastAsia="等线" w:hAnsi="Times New Roman" w:cs="Times New Roman" w:hint="eastAsia"/>
        </w:rPr>
        <w:t xml:space="preserve"> and MDA-MB-231 cells after silencing </w:t>
      </w:r>
      <w:r>
        <w:rPr>
          <w:rFonts w:ascii="Times New Roman" w:eastAsia="等线" w:hAnsi="Times New Roman" w:cs="Times New Roman" w:hint="eastAsia"/>
          <w:i/>
          <w:iCs/>
        </w:rPr>
        <w:t>CTBS-GNG</w:t>
      </w:r>
      <w:r>
        <w:rPr>
          <w:rFonts w:ascii="Times New Roman" w:eastAsia="等线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Scale bar indicates </w:t>
      </w:r>
      <w:r>
        <w:rPr>
          <w:rFonts w:ascii="Times New Roman" w:hAnsi="Times New Roman" w:cs="Times New Roman" w:hint="eastAsia"/>
        </w:rPr>
        <w:t xml:space="preserve">50 </w:t>
      </w:r>
      <w:r>
        <w:rPr>
          <w:rFonts w:ascii="Times New Roman" w:hAnsi="Times New Roman" w:cs="Times New Roman"/>
        </w:rPr>
        <w:t>µm. The data are expressed as the means ± SDs. Statistical significance was determined by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one-way ANOVA with Tukey’s post hoc test (</w:t>
      </w:r>
      <w:r>
        <w:rPr>
          <w:rFonts w:ascii="Times New Roman" w:hAnsi="Times New Roman" w:cs="Times New Roman" w:hint="eastAsia"/>
        </w:rPr>
        <w:t>A, 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ns indicates not statistically significant.</w:t>
      </w:r>
    </w:p>
    <w:p w14:paraId="0D8C66D3" w14:textId="2EF50F53" w:rsidR="00344B92" w:rsidRDefault="00CD33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8AFF9E" wp14:editId="00517D0A">
            <wp:extent cx="5274310" cy="4494530"/>
            <wp:effectExtent l="0" t="0" r="2540" b="1270"/>
            <wp:docPr id="762730198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30198" name="图片 8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1745B" w14:textId="77777777" w:rsidR="00344B9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7</w:t>
      </w:r>
      <w:r>
        <w:rPr>
          <w:rStyle w:val="fontstyle01"/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fusion protein </w:t>
      </w:r>
      <w:r>
        <w:rPr>
          <w:rFonts w:ascii="Times New Roman" w:hAnsi="Times New Roman" w:cs="Times New Roman"/>
          <w:b/>
          <w:bCs/>
          <w:sz w:val="24"/>
          <w:szCs w:val="24"/>
        </w:rPr>
        <w:t>CTBS-GNG5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stabilizes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IGF2BP2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through the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inhibition of ubiquitin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-mediated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degradation.</w:t>
      </w:r>
    </w:p>
    <w:p w14:paraId="75E9C0BD" w14:textId="45E49ABD" w:rsidR="00344B92" w:rsidRDefault="00000000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>IP-MS</w:t>
      </w:r>
      <w:r>
        <w:rPr>
          <w:rFonts w:ascii="Times New Roman" w:hAnsi="Times New Roman" w:cs="Times New Roman"/>
          <w:sz w:val="24"/>
          <w:szCs w:val="24"/>
        </w:rPr>
        <w:t xml:space="preserve"> identification of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CTBS-GNG5-interacting protein IGF2BP2 in UM-UC-3</w:t>
      </w:r>
      <w:r>
        <w:rPr>
          <w:rFonts w:ascii="Times New Roman" w:eastAsia="等线" w:hAnsi="Times New Roman" w:cs="Times New Roman"/>
          <w:sz w:val="24"/>
          <w:szCs w:val="24"/>
        </w:rPr>
        <w:t xml:space="preserve"> cells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Representative immunofluorescence images illustrating the cytoplasmic colocalization of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CTBS-GNG5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IGF2BP2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in A549 cells. Nuclei are stained blue,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IGF2BP2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labelled</w:t>
      </w:r>
      <w:bookmarkStart w:id="6" w:name="OLE_LINK2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green, and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CTBS-GNG5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is shown in red. Scale bar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(white) indicates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25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μ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The mRNA expression levels of </w:t>
      </w:r>
      <w:r>
        <w:rPr>
          <w:rFonts w:ascii="Times New Roman" w:eastAsia="等线" w:hAnsi="Times New Roman" w:cs="Times New Roman"/>
          <w:i/>
          <w:iCs/>
          <w:sz w:val="24"/>
          <w:szCs w:val="24"/>
        </w:rPr>
        <w:t>IGF2BP2</w:t>
      </w:r>
      <w:r>
        <w:rPr>
          <w:rFonts w:ascii="Times New Roman" w:eastAsia="等线" w:hAnsi="Times New Roman" w:cs="Times New Roman"/>
          <w:sz w:val="24"/>
          <w:szCs w:val="24"/>
        </w:rPr>
        <w:t xml:space="preserve"> were</w:t>
      </w:r>
      <w:r>
        <w:rPr>
          <w:rFonts w:ascii="Times New Roman" w:hAnsi="Times New Roman" w:cs="Times New Roman"/>
          <w:sz w:val="24"/>
          <w:szCs w:val="24"/>
        </w:rPr>
        <w:t xml:space="preserve"> assessed in </w:t>
      </w:r>
      <w:r>
        <w:rPr>
          <w:rFonts w:ascii="Times New Roman" w:hAnsi="Times New Roman" w:cs="Times New Roman"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/>
          <w:sz w:val="24"/>
          <w:szCs w:val="24"/>
        </w:rPr>
        <w:t>-knockdown and control cells. (D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total ubiquitination </w:t>
      </w:r>
      <w:r>
        <w:rPr>
          <w:rFonts w:ascii="Times New Roman" w:eastAsia="等线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 xml:space="preserve"> of IGF2BP2 </w:t>
      </w:r>
      <w:r>
        <w:rPr>
          <w:rFonts w:ascii="Times New Roman" w:eastAsia="等线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assessed in </w:t>
      </w:r>
      <w:r>
        <w:rPr>
          <w:rFonts w:ascii="Times New Roman" w:hAnsi="Times New Roman" w:cs="Times New Roman"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/>
          <w:sz w:val="24"/>
          <w:szCs w:val="24"/>
        </w:rPr>
        <w:t xml:space="preserve">-knockdown </w:t>
      </w:r>
      <w:r w:rsidR="00953653">
        <w:rPr>
          <w:rFonts w:ascii="Times New Roman" w:hAnsi="Times New Roman" w:cs="Times New Roman" w:hint="eastAsia"/>
          <w:sz w:val="24"/>
          <w:szCs w:val="24"/>
          <w:lang w:val="en-US"/>
        </w:rPr>
        <w:t>HEK</w:t>
      </w:r>
      <w:r w:rsidR="00953653">
        <w:rPr>
          <w:rFonts w:ascii="Times New Roman" w:hAnsi="Times New Roman" w:cs="Times New Roman" w:hint="eastAsia"/>
          <w:sz w:val="24"/>
          <w:szCs w:val="24"/>
        </w:rPr>
        <w:t>293T</w:t>
      </w:r>
      <w:r w:rsidR="0039722D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cells transfected with the corresponding plasmids for 48 hours and subsequently treated with MG132 (10 μM) for 12 hours. (E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ubiquitination levels of IGF2BP2 were assessed in </w:t>
      </w:r>
      <w:r>
        <w:rPr>
          <w:rFonts w:ascii="Times New Roman" w:hAnsi="Times New Roman" w:cs="Times New Roman"/>
          <w:i/>
          <w:iCs/>
          <w:sz w:val="24"/>
          <w:szCs w:val="24"/>
        </w:rPr>
        <w:t>CTBS-GNG5</w:t>
      </w:r>
      <w:r>
        <w:rPr>
          <w:rFonts w:ascii="Times New Roman" w:hAnsi="Times New Roman" w:cs="Times New Roman"/>
          <w:sz w:val="24"/>
          <w:szCs w:val="24"/>
        </w:rPr>
        <w:t xml:space="preserve">-overexpressing </w:t>
      </w:r>
      <w:r w:rsidR="00953653">
        <w:rPr>
          <w:rFonts w:ascii="Times New Roman" w:hAnsi="Times New Roman" w:cs="Times New Roman" w:hint="eastAsia"/>
          <w:sz w:val="24"/>
          <w:szCs w:val="24"/>
          <w:lang w:val="en-US"/>
        </w:rPr>
        <w:t>HEK</w:t>
      </w:r>
      <w:r w:rsidR="00953653">
        <w:rPr>
          <w:rFonts w:ascii="Times New Roman" w:hAnsi="Times New Roman" w:cs="Times New Roman" w:hint="eastAsia"/>
          <w:sz w:val="24"/>
          <w:szCs w:val="24"/>
        </w:rPr>
        <w:t>293T</w:t>
      </w:r>
      <w:r>
        <w:rPr>
          <w:rFonts w:ascii="Times New Roman" w:hAnsi="Times New Roman" w:cs="Times New Roman"/>
          <w:sz w:val="24"/>
          <w:szCs w:val="24"/>
        </w:rPr>
        <w:t xml:space="preserve"> cells transfected with the corresponding plasmids for 48 hours and subsequently treated with MG132 (10 μM) for 12 hours.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data are expressed as the means 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 w:hint="eastAsia"/>
          <w:sz w:val="24"/>
          <w:szCs w:val="24"/>
        </w:rPr>
        <w:t xml:space="preserve"> SDs. Statistical significance was determined by two-way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ANOVA with Tukey</w:t>
      </w:r>
      <w:r>
        <w:rPr>
          <w:rFonts w:ascii="Times New Roman" w:hAnsi="Times New Roman" w:cs="Times New Roman" w:hint="eastAsia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>s post hoc test (C).</w:t>
      </w:r>
      <w:r>
        <w:rPr>
          <w:rFonts w:ascii="Times New Roman" w:hAnsi="Times New Roman" w:cs="Times New Roman"/>
          <w:sz w:val="24"/>
          <w:szCs w:val="24"/>
        </w:rPr>
        <w:t xml:space="preserve"> ns indicates not statistically significant.</w:t>
      </w:r>
    </w:p>
    <w:p w14:paraId="23941244" w14:textId="4C8AACF8" w:rsidR="00344B92" w:rsidRDefault="00CD339F">
      <w:pPr>
        <w:pStyle w:val="pf0"/>
        <w:spacing w:line="360" w:lineRule="auto"/>
        <w:rPr>
          <w:rStyle w:val="fontstyle01"/>
          <w:rFonts w:ascii="Times New Roman" w:hAnsi="Times New Roman" w:cs="Times New Roman"/>
          <w:color w:val="auto"/>
        </w:rPr>
      </w:pPr>
      <w:r>
        <w:rPr>
          <w:noProof/>
        </w:rPr>
        <w:drawing>
          <wp:inline distT="0" distB="0" distL="0" distR="0" wp14:anchorId="24E7E3F7" wp14:editId="16C0DFAC">
            <wp:extent cx="5274310" cy="2506980"/>
            <wp:effectExtent l="0" t="0" r="2540" b="7620"/>
            <wp:docPr id="651313822" name="图片 9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313822" name="图片 9" descr="图表, 散点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7B12" w14:textId="77777777" w:rsidR="00344B92" w:rsidRDefault="00000000">
      <w:pPr>
        <w:pStyle w:val="pf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/>
          <w:color w:val="auto"/>
        </w:rPr>
        <w:t>Figure S</w:t>
      </w:r>
      <w:r>
        <w:rPr>
          <w:rStyle w:val="fontstyle01"/>
          <w:rFonts w:ascii="Times New Roman" w:hAnsi="Times New Roman" w:cs="Times New Roman" w:hint="eastAsia"/>
          <w:color w:val="auto"/>
        </w:rPr>
        <w:t>8</w:t>
      </w:r>
      <w:r>
        <w:rPr>
          <w:rStyle w:val="fontstyle01"/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b/>
          <w:bCs/>
        </w:rPr>
        <w:t>CTBS-GNG5</w:t>
      </w:r>
      <w:r>
        <w:rPr>
          <w:rFonts w:ascii="Times New Roman" w:hAnsi="Times New Roman" w:cs="Times New Roman" w:hint="eastAsia"/>
          <w:b/>
          <w:bCs/>
          <w:i/>
          <w:i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 xml:space="preserve">modulates the stability of </w:t>
      </w:r>
      <w:r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 w:hint="eastAsia"/>
          <w:b/>
          <w:bCs/>
          <w:i/>
          <w:iCs/>
        </w:rPr>
        <w:t>CDK1</w:t>
      </w:r>
      <w:r>
        <w:rPr>
          <w:rFonts w:ascii="Times New Roman" w:hAnsi="Times New Roman" w:cs="Times New Roman" w:hint="eastAsia"/>
          <w:b/>
          <w:bCs/>
        </w:rPr>
        <w:t xml:space="preserve">, </w:t>
      </w:r>
      <w:r>
        <w:rPr>
          <w:rFonts w:ascii="Times New Roman" w:hAnsi="Times New Roman" w:cs="Times New Roman" w:hint="eastAsia"/>
          <w:b/>
          <w:bCs/>
          <w:i/>
          <w:iCs/>
        </w:rPr>
        <w:t>TOP2A</w:t>
      </w:r>
      <w:r>
        <w:rPr>
          <w:rFonts w:ascii="Times New Roman" w:hAnsi="Times New Roman" w:cs="Times New Roman" w:hint="eastAsia"/>
          <w:b/>
          <w:bCs/>
        </w:rPr>
        <w:t xml:space="preserve">, and </w:t>
      </w:r>
      <w:r>
        <w:rPr>
          <w:rFonts w:ascii="Times New Roman" w:hAnsi="Times New Roman" w:cs="Times New Roman" w:hint="eastAsia"/>
          <w:b/>
          <w:bCs/>
          <w:i/>
          <w:iCs/>
        </w:rPr>
        <w:t xml:space="preserve">CDCA2 </w:t>
      </w:r>
      <w:r>
        <w:rPr>
          <w:rFonts w:ascii="Times New Roman" w:hAnsi="Times New Roman" w:cs="Times New Roman" w:hint="eastAsia"/>
          <w:b/>
          <w:bCs/>
        </w:rPr>
        <w:t xml:space="preserve">mRNAs in an </w:t>
      </w:r>
      <w:r>
        <w:rPr>
          <w:rFonts w:ascii="Times New Roman" w:hAnsi="Times New Roman" w:cs="Times New Roman"/>
          <w:b/>
          <w:bCs/>
        </w:rPr>
        <w:t>IGF2BP2</w:t>
      </w:r>
      <w:r>
        <w:rPr>
          <w:rFonts w:ascii="Times New Roman" w:hAnsi="Times New Roman" w:cs="Times New Roman" w:hint="eastAsia"/>
          <w:b/>
          <w:bCs/>
        </w:rPr>
        <w:t>-dependent manner.</w:t>
      </w:r>
    </w:p>
    <w:p w14:paraId="08B71624" w14:textId="77777777" w:rsidR="00344B92" w:rsidRDefault="00000000">
      <w:pPr>
        <w:pStyle w:val="pf0"/>
        <w:spacing w:line="360" w:lineRule="auto"/>
        <w:jc w:val="both"/>
        <w:rPr>
          <w:rFonts w:ascii="Times New Roman" w:hAnsi="Times New Roman" w:cs="Times New Roman"/>
        </w:rPr>
      </w:pPr>
      <w:bookmarkStart w:id="7" w:name="_Hlk144487594"/>
      <w:r>
        <w:rPr>
          <w:rFonts w:ascii="Times New Roman" w:hAnsi="Times New Roman" w:cs="Times New Roman"/>
        </w:rPr>
        <w:t xml:space="preserve">(A) </w:t>
      </w:r>
      <w:bookmarkStart w:id="8" w:name="_Hlk144487389"/>
      <w:r>
        <w:rPr>
          <w:rFonts w:ascii="Times New Roman" w:eastAsia="等线" w:hAnsi="Times New Roman" w:cs="Times New Roman"/>
        </w:rPr>
        <w:t>Volcano</w:t>
      </w:r>
      <w:r>
        <w:rPr>
          <w:rFonts w:ascii="Times New Roman" w:hAnsi="Times New Roman" w:cs="Times New Roman"/>
        </w:rPr>
        <w:t xml:space="preserve"> plots illustrating </w:t>
      </w:r>
      <w:r>
        <w:rPr>
          <w:rFonts w:ascii="Times New Roman" w:eastAsia="等线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mRNA expression profiles </w:t>
      </w:r>
      <w:r>
        <w:rPr>
          <w:rFonts w:ascii="Times New Roman" w:eastAsia="等线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A549</w:t>
      </w:r>
      <w:r>
        <w:rPr>
          <w:rFonts w:ascii="Times New Roman" w:hAnsi="Times New Roman" w:cs="Times New Roman"/>
        </w:rPr>
        <w:t xml:space="preserve"> cells transfected with </w:t>
      </w:r>
      <w:r>
        <w:rPr>
          <w:rFonts w:ascii="Times New Roman" w:hAnsi="Times New Roman" w:cs="Times New Roman"/>
          <w:i/>
          <w:iCs/>
        </w:rPr>
        <w:t xml:space="preserve">CTBS-GNG5 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i/>
          <w:iCs/>
        </w:rPr>
        <w:t xml:space="preserve"> IGF2BP2</w:t>
      </w: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RNA. (B)</w:t>
      </w:r>
      <w:r>
        <w:rPr>
          <w:rFonts w:ascii="Times New Roman" w:eastAsia="等线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UM-UC-3 cells transfected with either control or sh-</w:t>
      </w:r>
      <w:bookmarkEnd w:id="8"/>
      <w:r>
        <w:rPr>
          <w:rFonts w:ascii="Times New Roman" w:hAnsi="Times New Roman" w:cs="Times New Roman" w:hint="eastAsia"/>
          <w:i/>
          <w:iCs/>
        </w:rPr>
        <w:t>CTBS-GNG5</w:t>
      </w:r>
      <w:r>
        <w:rPr>
          <w:rFonts w:ascii="Times New Roman" w:hAnsi="Times New Roman" w:cs="Times New Roman" w:hint="eastAsia"/>
        </w:rPr>
        <w:t xml:space="preserve"> constructs were treated with actinomycin D (5 mg/mL) for the specified time periods.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UM-UC-3</w:t>
      </w:r>
      <w:r>
        <w:rPr>
          <w:rFonts w:ascii="Times New Roman" w:hAnsi="Times New Roman" w:cs="Times New Roman"/>
        </w:rPr>
        <w:t xml:space="preserve"> cells with stable </w:t>
      </w:r>
      <w:r>
        <w:rPr>
          <w:rFonts w:ascii="Times New Roman" w:eastAsia="等线" w:hAnsi="Times New Roman" w:cs="Times New Roman"/>
        </w:rPr>
        <w:t>expression</w:t>
      </w:r>
      <w:r>
        <w:rPr>
          <w:rFonts w:ascii="Times New Roman" w:hAnsi="Times New Roman" w:cs="Times New Roman"/>
        </w:rPr>
        <w:t xml:space="preserve"> of control, sh</w:t>
      </w:r>
      <w:r>
        <w:rPr>
          <w:rFonts w:ascii="Times New Roman" w:hAnsi="Times New Roman" w:cs="Times New Roman" w:hint="eastAsia"/>
          <w:i/>
          <w:iCs/>
        </w:rPr>
        <w:t>CTBS-GNG5</w:t>
      </w:r>
      <w:r>
        <w:rPr>
          <w:rFonts w:ascii="Times New Roman" w:hAnsi="Times New Roman" w:cs="Times New Roman"/>
        </w:rPr>
        <w:t>, or sh</w:t>
      </w:r>
      <w:r>
        <w:rPr>
          <w:rFonts w:ascii="Times New Roman" w:hAnsi="Times New Roman" w:cs="Times New Roman" w:hint="eastAsia"/>
          <w:i/>
          <w:iCs/>
        </w:rPr>
        <w:t>CTBS-GNG5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  <w:i/>
          <w:iCs/>
        </w:rPr>
        <w:t>IGF2BP2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overexpression</w:t>
      </w:r>
      <w:r>
        <w:rPr>
          <w:rFonts w:ascii="Times New Roman" w:hAnsi="Times New Roman" w:cs="Times New Roman"/>
        </w:rPr>
        <w:t xml:space="preserve"> were treated with actinomycin D (5 mg/m</w:t>
      </w:r>
      <w:r>
        <w:rPr>
          <w:rFonts w:ascii="Times New Roman" w:hAnsi="Times New Roman" w:cs="Times New Roman" w:hint="eastAsia"/>
          <w:lang w:val="en-US"/>
        </w:rPr>
        <w:t>L</w:t>
      </w:r>
      <w:r>
        <w:rPr>
          <w:rFonts w:ascii="Times New Roman" w:hAnsi="Times New Roman" w:cs="Times New Roman"/>
        </w:rPr>
        <w:t xml:space="preserve">) for the indicated time periods. Total RNA was purified and </w:t>
      </w:r>
      <w:r>
        <w:rPr>
          <w:rFonts w:ascii="Times New Roman" w:eastAsia="等线" w:hAnsi="Times New Roman" w:cs="Times New Roman"/>
        </w:rPr>
        <w:t>analysed via qRT‒PCR</w:t>
      </w:r>
      <w:r>
        <w:rPr>
          <w:rFonts w:ascii="Times New Roman" w:hAnsi="Times New Roman" w:cs="Times New Roman"/>
        </w:rPr>
        <w:t xml:space="preserve"> to determine the mRNA </w:t>
      </w:r>
      <w:r>
        <w:rPr>
          <w:rFonts w:ascii="Times New Roman" w:eastAsia="等线" w:hAnsi="Times New Roman" w:cs="Times New Roman"/>
        </w:rPr>
        <w:t>half‒lives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  <w:i/>
          <w:iCs/>
        </w:rPr>
        <w:t>CDK</w:t>
      </w:r>
      <w:r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</w:rPr>
        <w:t xml:space="preserve">, </w:t>
      </w:r>
      <w:bookmarkEnd w:id="7"/>
      <w:r>
        <w:rPr>
          <w:rFonts w:ascii="Times New Roman" w:hAnsi="Times New Roman" w:cs="Times New Roman" w:hint="eastAsia"/>
          <w:i/>
          <w:iCs/>
        </w:rPr>
        <w:t>TOP2A</w:t>
      </w:r>
      <w:r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 w:hint="eastAsia"/>
          <w:i/>
          <w:iCs/>
        </w:rPr>
        <w:t>CDCA2</w:t>
      </w:r>
      <w:r>
        <w:rPr>
          <w:rFonts w:ascii="Times New Roman" w:hAnsi="Times New Roman" w:cs="Times New Roman"/>
        </w:rPr>
        <w:t>. The data are expressed as the means ± SDs. Statistical significance was determined by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Extra sum-of-squares F test (</w:t>
      </w:r>
      <w:r>
        <w:rPr>
          <w:rFonts w:ascii="Times New Roman" w:hAnsi="Times New Roman" w:cs="Times New Roman" w:hint="eastAsia"/>
        </w:rPr>
        <w:t>B, 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.</w:t>
      </w:r>
    </w:p>
    <w:p w14:paraId="72D92A2F" w14:textId="77777777" w:rsidR="00344B92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10344C5F" w14:textId="77777777" w:rsidR="00344B9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99228627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S1. Sequences of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the </w:t>
      </w:r>
      <w:bookmarkEnd w:id="9"/>
      <w:r>
        <w:rPr>
          <w:rFonts w:ascii="Times New Roman" w:hAnsi="Times New Roman" w:cs="Times New Roman"/>
          <w:b/>
          <w:bCs/>
          <w:sz w:val="24"/>
          <w:szCs w:val="24"/>
        </w:rPr>
        <w:t>siRNA oligos and shRNAs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4793"/>
      </w:tblGrid>
      <w:tr w:rsidR="00344B92" w14:paraId="5605EBB5" w14:textId="77777777">
        <w:trPr>
          <w:jc w:val="center"/>
        </w:trPr>
        <w:tc>
          <w:tcPr>
            <w:tcW w:w="3513" w:type="dxa"/>
            <w:tcBorders>
              <w:top w:val="single" w:sz="12" w:space="0" w:color="auto"/>
              <w:bottom w:val="single" w:sz="12" w:space="0" w:color="auto"/>
            </w:tcBorders>
          </w:tcPr>
          <w:p w14:paraId="41629414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793" w:type="dxa"/>
            <w:tcBorders>
              <w:top w:val="single" w:sz="12" w:space="0" w:color="auto"/>
              <w:bottom w:val="single" w:sz="12" w:space="0" w:color="auto"/>
            </w:tcBorders>
          </w:tcPr>
          <w:p w14:paraId="7DD7AC9D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5’-3’</w:t>
            </w:r>
          </w:p>
        </w:tc>
      </w:tr>
      <w:tr w:rsidR="00344B92" w14:paraId="20C5FE04" w14:textId="77777777">
        <w:trPr>
          <w:jc w:val="center"/>
        </w:trPr>
        <w:tc>
          <w:tcPr>
            <w:tcW w:w="3513" w:type="dxa"/>
            <w:tcBorders>
              <w:top w:val="single" w:sz="12" w:space="0" w:color="auto"/>
            </w:tcBorders>
          </w:tcPr>
          <w:p w14:paraId="3C307584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siRNA</w:t>
            </w:r>
          </w:p>
        </w:tc>
        <w:tc>
          <w:tcPr>
            <w:tcW w:w="4793" w:type="dxa"/>
            <w:tcBorders>
              <w:top w:val="single" w:sz="12" w:space="0" w:color="auto"/>
            </w:tcBorders>
          </w:tcPr>
          <w:p w14:paraId="2A191EF9" w14:textId="77777777" w:rsidR="00344B92" w:rsidRDefault="00344B92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4B92" w14:paraId="10AE7B9D" w14:textId="77777777">
        <w:trPr>
          <w:jc w:val="center"/>
        </w:trPr>
        <w:tc>
          <w:tcPr>
            <w:tcW w:w="3513" w:type="dxa"/>
            <w:shd w:val="clear" w:color="auto" w:fill="D9D9D9" w:themeFill="background1" w:themeFillShade="D9"/>
          </w:tcPr>
          <w:p w14:paraId="66AEA4D6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-NC</w:t>
            </w:r>
          </w:p>
        </w:tc>
        <w:tc>
          <w:tcPr>
            <w:tcW w:w="4793" w:type="dxa"/>
            <w:shd w:val="clear" w:color="auto" w:fill="D9D9D9" w:themeFill="background1" w:themeFillShade="D9"/>
          </w:tcPr>
          <w:p w14:paraId="54F68739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344B92" w14:paraId="041D39FC" w14:textId="77777777">
        <w:trPr>
          <w:jc w:val="center"/>
        </w:trPr>
        <w:tc>
          <w:tcPr>
            <w:tcW w:w="3513" w:type="dxa"/>
          </w:tcPr>
          <w:p w14:paraId="10C8EAB7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793" w:type="dxa"/>
          </w:tcPr>
          <w:p w14:paraId="06E11632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CUAUAAAGUUUCCCAGGCATT</w:t>
            </w:r>
          </w:p>
        </w:tc>
      </w:tr>
      <w:tr w:rsidR="00344B92" w14:paraId="734685DB" w14:textId="77777777">
        <w:trPr>
          <w:jc w:val="center"/>
        </w:trPr>
        <w:tc>
          <w:tcPr>
            <w:tcW w:w="3513" w:type="dxa"/>
            <w:shd w:val="clear" w:color="auto" w:fill="D9D9D9" w:themeFill="background1" w:themeFillShade="D9"/>
          </w:tcPr>
          <w:p w14:paraId="70462666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793" w:type="dxa"/>
            <w:shd w:val="clear" w:color="auto" w:fill="D9D9D9" w:themeFill="background1" w:themeFillShade="D9"/>
          </w:tcPr>
          <w:p w14:paraId="4E3C1D8D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UAACUAUAAAGUUUCCCAGTT</w:t>
            </w:r>
          </w:p>
        </w:tc>
      </w:tr>
      <w:tr w:rsidR="00344B92" w14:paraId="16179499" w14:textId="77777777">
        <w:trPr>
          <w:jc w:val="center"/>
        </w:trPr>
        <w:tc>
          <w:tcPr>
            <w:tcW w:w="3513" w:type="dxa"/>
          </w:tcPr>
          <w:p w14:paraId="738A2861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IGF2BP2#1</w:t>
            </w:r>
          </w:p>
        </w:tc>
        <w:tc>
          <w:tcPr>
            <w:tcW w:w="4793" w:type="dxa"/>
          </w:tcPr>
          <w:p w14:paraId="163BFAF7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GUGAAUCUCUUCAUCCCAATT</w:t>
            </w:r>
          </w:p>
        </w:tc>
      </w:tr>
      <w:tr w:rsidR="00344B92" w14:paraId="2FD2F075" w14:textId="77777777">
        <w:trPr>
          <w:jc w:val="center"/>
        </w:trPr>
        <w:tc>
          <w:tcPr>
            <w:tcW w:w="3513" w:type="dxa"/>
            <w:shd w:val="clear" w:color="auto" w:fill="D9D9D9" w:themeFill="background1" w:themeFillShade="D9"/>
          </w:tcPr>
          <w:p w14:paraId="21AC7445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IGF2BP2#2</w:t>
            </w:r>
          </w:p>
        </w:tc>
        <w:tc>
          <w:tcPr>
            <w:tcW w:w="4793" w:type="dxa"/>
            <w:shd w:val="clear" w:color="auto" w:fill="D9D9D9" w:themeFill="background1" w:themeFillShade="D9"/>
          </w:tcPr>
          <w:p w14:paraId="6FF547DE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GAACUGCAGAACUUAACCATT</w:t>
            </w:r>
          </w:p>
        </w:tc>
      </w:tr>
      <w:tr w:rsidR="00344B92" w14:paraId="0C7595E7" w14:textId="77777777">
        <w:trPr>
          <w:jc w:val="center"/>
        </w:trPr>
        <w:tc>
          <w:tcPr>
            <w:tcW w:w="3513" w:type="dxa"/>
          </w:tcPr>
          <w:p w14:paraId="4A5F860E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shRNA</w:t>
            </w:r>
          </w:p>
        </w:tc>
        <w:tc>
          <w:tcPr>
            <w:tcW w:w="4793" w:type="dxa"/>
          </w:tcPr>
          <w:p w14:paraId="4DA6A0D9" w14:textId="77777777" w:rsidR="00344B92" w:rsidRDefault="00344B92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92" w14:paraId="559C33D1" w14:textId="77777777">
        <w:trPr>
          <w:jc w:val="center"/>
        </w:trPr>
        <w:tc>
          <w:tcPr>
            <w:tcW w:w="3513" w:type="dxa"/>
            <w:shd w:val="clear" w:color="auto" w:fill="D9D9D9" w:themeFill="background1" w:themeFillShade="D9"/>
          </w:tcPr>
          <w:p w14:paraId="16047611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sh-NC</w:t>
            </w:r>
          </w:p>
        </w:tc>
        <w:tc>
          <w:tcPr>
            <w:tcW w:w="4793" w:type="dxa"/>
            <w:shd w:val="clear" w:color="auto" w:fill="D9D9D9" w:themeFill="background1" w:themeFillShade="D9"/>
          </w:tcPr>
          <w:p w14:paraId="44323807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CAACAAGATGAAGAGCACCAA</w:t>
            </w:r>
          </w:p>
        </w:tc>
      </w:tr>
      <w:tr w:rsidR="00344B92" w14:paraId="44B4D6ED" w14:textId="77777777">
        <w:trPr>
          <w:jc w:val="center"/>
        </w:trPr>
        <w:tc>
          <w:tcPr>
            <w:tcW w:w="3513" w:type="dxa"/>
          </w:tcPr>
          <w:p w14:paraId="647CB982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4793" w:type="dxa"/>
          </w:tcPr>
          <w:p w14:paraId="1FE58F3D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CTATAAAGTTTCCCAGGCA</w:t>
            </w:r>
          </w:p>
        </w:tc>
      </w:tr>
      <w:tr w:rsidR="00344B92" w14:paraId="3140EA0A" w14:textId="77777777">
        <w:trPr>
          <w:jc w:val="center"/>
        </w:trPr>
        <w:tc>
          <w:tcPr>
            <w:tcW w:w="351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8A60BAD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479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51AD3EC" w14:textId="77777777" w:rsidR="00344B92" w:rsidRDefault="00000000">
            <w:pPr>
              <w:tabs>
                <w:tab w:val="left" w:pos="4872"/>
              </w:tabs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TAACTATAAAGTTTCCCAG</w:t>
            </w:r>
          </w:p>
        </w:tc>
      </w:tr>
    </w:tbl>
    <w:p w14:paraId="225F4B4A" w14:textId="77777777" w:rsidR="00344B92" w:rsidRDefault="00344B92">
      <w:pPr>
        <w:pStyle w:val="1"/>
        <w:rPr>
          <w:rFonts w:ascii="Times New Roman" w:hAnsi="Times New Roman" w:cs="Times New Roman"/>
          <w:sz w:val="24"/>
          <w:szCs w:val="24"/>
        </w:rPr>
        <w:sectPr w:rsidR="00344B92">
          <w:pgSz w:w="11906" w:h="16838"/>
          <w:pgMar w:top="1440" w:right="1800" w:bottom="1440" w:left="1800" w:header="0" w:footer="284" w:gutter="0"/>
          <w:lnNumType w:countBy="1" w:distance="567" w:restart="continuous"/>
          <w:cols w:space="425"/>
          <w:docGrid w:type="lines" w:linePitch="312"/>
        </w:sectPr>
      </w:pPr>
    </w:p>
    <w:p w14:paraId="3CD81E90" w14:textId="77777777" w:rsidR="00344B9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9922862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S2. Primers used in this </w:t>
      </w:r>
      <w:bookmarkEnd w:id="10"/>
      <w:r>
        <w:rPr>
          <w:rFonts w:ascii="Times New Roman" w:hAnsi="Times New Roman" w:cs="Times New Roman"/>
          <w:b/>
          <w:bCs/>
          <w:sz w:val="24"/>
          <w:szCs w:val="24"/>
        </w:rPr>
        <w:t>study.</w:t>
      </w:r>
    </w:p>
    <w:tbl>
      <w:tblPr>
        <w:tblStyle w:val="ab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8"/>
        <w:gridCol w:w="5948"/>
      </w:tblGrid>
      <w:tr w:rsidR="00344B92" w14:paraId="79E5F3C7" w14:textId="77777777">
        <w:trPr>
          <w:jc w:val="center"/>
        </w:trPr>
        <w:tc>
          <w:tcPr>
            <w:tcW w:w="34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195B7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5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D7E12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5’-3’</w:t>
            </w:r>
          </w:p>
        </w:tc>
      </w:tr>
      <w:tr w:rsidR="00344B92" w14:paraId="6148DDAE" w14:textId="77777777">
        <w:trPr>
          <w:jc w:val="center"/>
        </w:trPr>
        <w:tc>
          <w:tcPr>
            <w:tcW w:w="3408" w:type="dxa"/>
            <w:tcBorders>
              <w:top w:val="single" w:sz="12" w:space="0" w:color="auto"/>
            </w:tcBorders>
            <w:vAlign w:val="center"/>
          </w:tcPr>
          <w:p w14:paraId="05C60C3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Used in qPCR</w:t>
            </w:r>
          </w:p>
        </w:tc>
        <w:tc>
          <w:tcPr>
            <w:tcW w:w="5948" w:type="dxa"/>
            <w:tcBorders>
              <w:top w:val="single" w:sz="12" w:space="0" w:color="auto"/>
            </w:tcBorders>
            <w:vAlign w:val="center"/>
          </w:tcPr>
          <w:p w14:paraId="19D025DA" w14:textId="77777777" w:rsidR="00344B92" w:rsidRDefault="00344B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B92" w14:paraId="425A3FE1" w14:textId="77777777">
        <w:trPr>
          <w:jc w:val="center"/>
        </w:trPr>
        <w:tc>
          <w:tcPr>
            <w:tcW w:w="3408" w:type="dxa"/>
            <w:vAlign w:val="center"/>
          </w:tcPr>
          <w:p w14:paraId="436D52F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CTBS-GNG5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948" w:type="dxa"/>
            <w:vAlign w:val="center"/>
          </w:tcPr>
          <w:p w14:paraId="5414F07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GTCAGGTGCCCTACAAAACGA</w:t>
            </w:r>
          </w:p>
        </w:tc>
      </w:tr>
      <w:tr w:rsidR="00344B92" w14:paraId="312F6CED" w14:textId="77777777">
        <w:trPr>
          <w:jc w:val="center"/>
        </w:trPr>
        <w:tc>
          <w:tcPr>
            <w:tcW w:w="3408" w:type="dxa"/>
            <w:vAlign w:val="center"/>
          </w:tcPr>
          <w:p w14:paraId="1B516020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CTBS-GNG5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5948" w:type="dxa"/>
            <w:vAlign w:val="center"/>
          </w:tcPr>
          <w:p w14:paraId="1BE166B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TGGGGTCTGAAGGGATTTGTA</w:t>
            </w:r>
          </w:p>
        </w:tc>
      </w:tr>
      <w:tr w:rsidR="00344B92" w14:paraId="14EC3891" w14:textId="77777777">
        <w:trPr>
          <w:jc w:val="center"/>
        </w:trPr>
        <w:tc>
          <w:tcPr>
            <w:tcW w:w="3408" w:type="dxa"/>
            <w:vAlign w:val="center"/>
          </w:tcPr>
          <w:p w14:paraId="03729B2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IGF2BP2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948" w:type="dxa"/>
            <w:vAlign w:val="center"/>
          </w:tcPr>
          <w:p w14:paraId="5EB65BC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GTTGGTGCCATCATCGGAAAGG</w:t>
            </w:r>
          </w:p>
        </w:tc>
      </w:tr>
      <w:tr w:rsidR="00344B92" w14:paraId="4F04E6B2" w14:textId="77777777">
        <w:trPr>
          <w:jc w:val="center"/>
        </w:trPr>
        <w:tc>
          <w:tcPr>
            <w:tcW w:w="3408" w:type="dxa"/>
            <w:vAlign w:val="center"/>
          </w:tcPr>
          <w:p w14:paraId="4542C08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IGF2BP2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5948" w:type="dxa"/>
            <w:vAlign w:val="center"/>
          </w:tcPr>
          <w:p w14:paraId="2CE1018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TGGATGGTGACAGGCTTCTCTG</w:t>
            </w:r>
          </w:p>
        </w:tc>
      </w:tr>
      <w:tr w:rsidR="00344B92" w14:paraId="653E7120" w14:textId="77777777">
        <w:trPr>
          <w:jc w:val="center"/>
        </w:trPr>
        <w:tc>
          <w:tcPr>
            <w:tcW w:w="3408" w:type="dxa"/>
            <w:vAlign w:val="center"/>
          </w:tcPr>
          <w:p w14:paraId="0A13132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TOP2A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948" w:type="dxa"/>
            <w:vAlign w:val="center"/>
          </w:tcPr>
          <w:p w14:paraId="18D2ACDE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ACCATTGCAGCCTGTAAATGA</w:t>
            </w:r>
          </w:p>
        </w:tc>
      </w:tr>
      <w:tr w:rsidR="00344B92" w14:paraId="4D91F81D" w14:textId="77777777">
        <w:trPr>
          <w:jc w:val="center"/>
        </w:trPr>
        <w:tc>
          <w:tcPr>
            <w:tcW w:w="3408" w:type="dxa"/>
            <w:vAlign w:val="center"/>
          </w:tcPr>
          <w:p w14:paraId="2786C67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TOP2A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5948" w:type="dxa"/>
            <w:vAlign w:val="center"/>
          </w:tcPr>
          <w:p w14:paraId="7878CE5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GGGCGGAGCAAAATATGTTCC</w:t>
            </w:r>
          </w:p>
        </w:tc>
      </w:tr>
      <w:tr w:rsidR="00344B92" w14:paraId="66A85957" w14:textId="77777777">
        <w:trPr>
          <w:jc w:val="center"/>
        </w:trPr>
        <w:tc>
          <w:tcPr>
            <w:tcW w:w="3408" w:type="dxa"/>
            <w:vAlign w:val="center"/>
          </w:tcPr>
          <w:p w14:paraId="73E8560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CDK1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948" w:type="dxa"/>
            <w:vAlign w:val="center"/>
          </w:tcPr>
          <w:p w14:paraId="333A8260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GGATGTGCTTATGCAGGATTCC</w:t>
            </w:r>
          </w:p>
        </w:tc>
      </w:tr>
      <w:tr w:rsidR="00344B92" w14:paraId="5430B5B0" w14:textId="77777777">
        <w:trPr>
          <w:jc w:val="center"/>
        </w:trPr>
        <w:tc>
          <w:tcPr>
            <w:tcW w:w="3408" w:type="dxa"/>
            <w:vAlign w:val="center"/>
          </w:tcPr>
          <w:p w14:paraId="63784ED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CDK1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5948" w:type="dxa"/>
            <w:vAlign w:val="center"/>
          </w:tcPr>
          <w:p w14:paraId="1975B86C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CATGTACTGACCAGGAGGGATAG</w:t>
            </w:r>
          </w:p>
        </w:tc>
      </w:tr>
      <w:tr w:rsidR="00344B92" w14:paraId="1C0813B9" w14:textId="77777777">
        <w:trPr>
          <w:jc w:val="center"/>
        </w:trPr>
        <w:tc>
          <w:tcPr>
            <w:tcW w:w="3408" w:type="dxa"/>
            <w:vAlign w:val="center"/>
          </w:tcPr>
          <w:p w14:paraId="6BB7127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CDCA2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48" w:type="dxa"/>
            <w:vAlign w:val="center"/>
          </w:tcPr>
          <w:p w14:paraId="694BCD1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TGCCGAATTACCTCCTAATCCT</w:t>
            </w:r>
          </w:p>
        </w:tc>
      </w:tr>
      <w:tr w:rsidR="00344B92" w14:paraId="55017A26" w14:textId="77777777">
        <w:trPr>
          <w:jc w:val="center"/>
        </w:trPr>
        <w:tc>
          <w:tcPr>
            <w:tcW w:w="3408" w:type="dxa"/>
            <w:vAlign w:val="center"/>
          </w:tcPr>
          <w:p w14:paraId="7CE9594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CDCA2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48" w:type="dxa"/>
            <w:vAlign w:val="center"/>
          </w:tcPr>
          <w:p w14:paraId="1F13C88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TGCTCTACGGTTACTGTGGAAA</w:t>
            </w:r>
          </w:p>
        </w:tc>
      </w:tr>
      <w:tr w:rsidR="00344B92" w14:paraId="6406DC33" w14:textId="77777777">
        <w:trPr>
          <w:jc w:val="center"/>
        </w:trPr>
        <w:tc>
          <w:tcPr>
            <w:tcW w:w="3408" w:type="dxa"/>
            <w:vAlign w:val="center"/>
          </w:tcPr>
          <w:p w14:paraId="34B7F51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Forward</w:t>
            </w:r>
          </w:p>
        </w:tc>
        <w:tc>
          <w:tcPr>
            <w:tcW w:w="5948" w:type="dxa"/>
            <w:vAlign w:val="center"/>
          </w:tcPr>
          <w:p w14:paraId="10428C23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GTCTCCTCTGACTTCAACAGCG</w:t>
            </w:r>
          </w:p>
        </w:tc>
      </w:tr>
      <w:tr w:rsidR="00344B92" w14:paraId="4287207A" w14:textId="77777777">
        <w:trPr>
          <w:jc w:val="center"/>
        </w:trPr>
        <w:tc>
          <w:tcPr>
            <w:tcW w:w="3408" w:type="dxa"/>
            <w:tcBorders>
              <w:bottom w:val="single" w:sz="12" w:space="0" w:color="auto"/>
            </w:tcBorders>
            <w:vAlign w:val="center"/>
          </w:tcPr>
          <w:p w14:paraId="763A874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Reverse</w:t>
            </w:r>
          </w:p>
        </w:tc>
        <w:tc>
          <w:tcPr>
            <w:tcW w:w="5948" w:type="dxa"/>
            <w:tcBorders>
              <w:bottom w:val="single" w:sz="12" w:space="0" w:color="auto"/>
            </w:tcBorders>
            <w:vAlign w:val="center"/>
          </w:tcPr>
          <w:p w14:paraId="3E64F7E7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ACCACCCTGTTGCTGTAGCCAA</w:t>
            </w:r>
          </w:p>
        </w:tc>
      </w:tr>
    </w:tbl>
    <w:p w14:paraId="54F5ADB4" w14:textId="77777777" w:rsidR="00344B92" w:rsidRDefault="00344B9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344B92">
          <w:pgSz w:w="11906" w:h="16838"/>
          <w:pgMar w:top="1440" w:right="1800" w:bottom="1440" w:left="1800" w:header="0" w:footer="284" w:gutter="0"/>
          <w:lnNumType w:countBy="1" w:distance="567" w:restart="continuous"/>
          <w:cols w:space="425"/>
          <w:docGrid w:type="lines" w:linePitch="312"/>
        </w:sectPr>
      </w:pPr>
    </w:p>
    <w:p w14:paraId="7015B3DF" w14:textId="77777777" w:rsidR="00344B92" w:rsidRDefault="00000000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S3. Antibodies used in this study.</w:t>
      </w:r>
    </w:p>
    <w:tbl>
      <w:tblPr>
        <w:tblStyle w:val="ab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701"/>
        <w:gridCol w:w="1417"/>
        <w:gridCol w:w="1276"/>
      </w:tblGrid>
      <w:tr w:rsidR="00344B92" w14:paraId="1F5C0D6B" w14:textId="77777777">
        <w:trPr>
          <w:jc w:val="center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A257EB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pplication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3870B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or histone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modification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0A56E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Manufacturer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4777A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 number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623E5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ilution for usage</w:t>
            </w:r>
          </w:p>
        </w:tc>
      </w:tr>
      <w:tr w:rsidR="00344B92" w14:paraId="2460E2BC" w14:textId="77777777">
        <w:trPr>
          <w:jc w:val="center"/>
        </w:trPr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297B73DA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0182B9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-tag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D1EF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BA8CA4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#86861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565259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344B92" w14:paraId="1A6A69E0" w14:textId="77777777">
        <w:trPr>
          <w:jc w:val="center"/>
        </w:trPr>
        <w:tc>
          <w:tcPr>
            <w:tcW w:w="2552" w:type="dxa"/>
            <w:vAlign w:val="center"/>
          </w:tcPr>
          <w:p w14:paraId="33E712F3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42CEC726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1701" w:type="dxa"/>
            <w:vAlign w:val="center"/>
          </w:tcPr>
          <w:p w14:paraId="11BAD29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472E109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60004-1-Ig</w:t>
            </w:r>
          </w:p>
        </w:tc>
        <w:tc>
          <w:tcPr>
            <w:tcW w:w="1276" w:type="dxa"/>
            <w:vAlign w:val="center"/>
          </w:tcPr>
          <w:p w14:paraId="4D3F8F5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:10000</w:t>
            </w:r>
          </w:p>
        </w:tc>
      </w:tr>
      <w:tr w:rsidR="00344B92" w14:paraId="28FCC5C9" w14:textId="77777777">
        <w:trPr>
          <w:jc w:val="center"/>
        </w:trPr>
        <w:tc>
          <w:tcPr>
            <w:tcW w:w="2552" w:type="dxa"/>
            <w:vAlign w:val="center"/>
          </w:tcPr>
          <w:p w14:paraId="7F6C807A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0089BAD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CTBS-GNG5</w:t>
            </w:r>
          </w:p>
        </w:tc>
        <w:tc>
          <w:tcPr>
            <w:tcW w:w="1701" w:type="dxa"/>
            <w:vAlign w:val="center"/>
          </w:tcPr>
          <w:p w14:paraId="3ED08605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DIA-AN</w:t>
            </w:r>
          </w:p>
        </w:tc>
        <w:tc>
          <w:tcPr>
            <w:tcW w:w="1417" w:type="dxa"/>
            <w:vAlign w:val="center"/>
          </w:tcPr>
          <w:p w14:paraId="60B23A1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S8010</w:t>
            </w:r>
          </w:p>
        </w:tc>
        <w:tc>
          <w:tcPr>
            <w:tcW w:w="1276" w:type="dxa"/>
            <w:vAlign w:val="center"/>
          </w:tcPr>
          <w:p w14:paraId="306B8C9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1:1000</w:t>
            </w:r>
          </w:p>
        </w:tc>
      </w:tr>
      <w:tr w:rsidR="00344B92" w14:paraId="0EBA54C8" w14:textId="77777777">
        <w:trPr>
          <w:jc w:val="center"/>
        </w:trPr>
        <w:tc>
          <w:tcPr>
            <w:tcW w:w="2552" w:type="dxa"/>
            <w:vAlign w:val="center"/>
          </w:tcPr>
          <w:p w14:paraId="043C7675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1E991017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CDK1</w:t>
            </w:r>
          </w:p>
        </w:tc>
        <w:tc>
          <w:tcPr>
            <w:tcW w:w="1701" w:type="dxa"/>
            <w:vAlign w:val="center"/>
          </w:tcPr>
          <w:p w14:paraId="710B14EC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Immunoway</w:t>
            </w:r>
          </w:p>
        </w:tc>
        <w:tc>
          <w:tcPr>
            <w:tcW w:w="1417" w:type="dxa"/>
            <w:vAlign w:val="center"/>
          </w:tcPr>
          <w:p w14:paraId="512EA86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YM8251</w:t>
            </w:r>
          </w:p>
        </w:tc>
        <w:tc>
          <w:tcPr>
            <w:tcW w:w="1276" w:type="dxa"/>
            <w:vAlign w:val="center"/>
          </w:tcPr>
          <w:p w14:paraId="05FE7AD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1:1000</w:t>
            </w:r>
          </w:p>
        </w:tc>
      </w:tr>
      <w:tr w:rsidR="00344B92" w14:paraId="2BB5FBE7" w14:textId="77777777">
        <w:trPr>
          <w:jc w:val="center"/>
        </w:trPr>
        <w:tc>
          <w:tcPr>
            <w:tcW w:w="2552" w:type="dxa"/>
            <w:vAlign w:val="center"/>
          </w:tcPr>
          <w:p w14:paraId="1D53409E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1DE2BD93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IGF2BP2</w:t>
            </w:r>
          </w:p>
        </w:tc>
        <w:tc>
          <w:tcPr>
            <w:tcW w:w="1701" w:type="dxa"/>
            <w:vAlign w:val="center"/>
          </w:tcPr>
          <w:p w14:paraId="1E8F718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0002A8E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11601-1-AP</w:t>
            </w:r>
          </w:p>
        </w:tc>
        <w:tc>
          <w:tcPr>
            <w:tcW w:w="1276" w:type="dxa"/>
            <w:vAlign w:val="center"/>
          </w:tcPr>
          <w:p w14:paraId="01155DA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1:1000</w:t>
            </w:r>
          </w:p>
        </w:tc>
      </w:tr>
      <w:tr w:rsidR="00344B92" w14:paraId="2767AAE1" w14:textId="77777777">
        <w:trPr>
          <w:jc w:val="center"/>
        </w:trPr>
        <w:tc>
          <w:tcPr>
            <w:tcW w:w="2552" w:type="dxa"/>
            <w:vAlign w:val="center"/>
          </w:tcPr>
          <w:p w14:paraId="7F8D8B61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7428F8E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TOP2A</w:t>
            </w:r>
          </w:p>
        </w:tc>
        <w:tc>
          <w:tcPr>
            <w:tcW w:w="1701" w:type="dxa"/>
            <w:vAlign w:val="center"/>
          </w:tcPr>
          <w:p w14:paraId="62E1339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Immunoway</w:t>
            </w:r>
          </w:p>
        </w:tc>
        <w:tc>
          <w:tcPr>
            <w:tcW w:w="1417" w:type="dxa"/>
            <w:vAlign w:val="center"/>
          </w:tcPr>
          <w:p w14:paraId="7485364B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YT4701</w:t>
            </w:r>
          </w:p>
        </w:tc>
        <w:tc>
          <w:tcPr>
            <w:tcW w:w="1276" w:type="dxa"/>
            <w:vAlign w:val="center"/>
          </w:tcPr>
          <w:p w14:paraId="3580C08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1:1000</w:t>
            </w:r>
          </w:p>
        </w:tc>
      </w:tr>
      <w:tr w:rsidR="00344B92" w14:paraId="62BF2B72" w14:textId="77777777">
        <w:trPr>
          <w:jc w:val="center"/>
        </w:trPr>
        <w:tc>
          <w:tcPr>
            <w:tcW w:w="2552" w:type="dxa"/>
            <w:vAlign w:val="center"/>
          </w:tcPr>
          <w:p w14:paraId="4F13426B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30E7E40E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CDCA2</w:t>
            </w:r>
          </w:p>
        </w:tc>
        <w:tc>
          <w:tcPr>
            <w:tcW w:w="1701" w:type="dxa"/>
            <w:vAlign w:val="center"/>
          </w:tcPr>
          <w:p w14:paraId="4B24B71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Immunoway</w:t>
            </w:r>
          </w:p>
        </w:tc>
        <w:tc>
          <w:tcPr>
            <w:tcW w:w="1417" w:type="dxa"/>
            <w:vAlign w:val="center"/>
          </w:tcPr>
          <w:p w14:paraId="5A91BF0E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YT4053</w:t>
            </w:r>
          </w:p>
        </w:tc>
        <w:tc>
          <w:tcPr>
            <w:tcW w:w="1276" w:type="dxa"/>
            <w:vAlign w:val="center"/>
          </w:tcPr>
          <w:p w14:paraId="245B6F07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1:1000</w:t>
            </w:r>
          </w:p>
        </w:tc>
      </w:tr>
      <w:tr w:rsidR="00344B92" w14:paraId="29F5A617" w14:textId="77777777">
        <w:trPr>
          <w:jc w:val="center"/>
        </w:trPr>
        <w:tc>
          <w:tcPr>
            <w:tcW w:w="2552" w:type="dxa"/>
            <w:vAlign w:val="center"/>
          </w:tcPr>
          <w:p w14:paraId="5AF28E54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2410" w:type="dxa"/>
            <w:vAlign w:val="center"/>
          </w:tcPr>
          <w:p w14:paraId="264B052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Lamin B1</w:t>
            </w:r>
          </w:p>
        </w:tc>
        <w:tc>
          <w:tcPr>
            <w:tcW w:w="1701" w:type="dxa"/>
            <w:vAlign w:val="center"/>
          </w:tcPr>
          <w:p w14:paraId="2711A4C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6AEC1B12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12987-1-AP</w:t>
            </w:r>
          </w:p>
        </w:tc>
        <w:tc>
          <w:tcPr>
            <w:tcW w:w="1276" w:type="dxa"/>
            <w:vAlign w:val="center"/>
          </w:tcPr>
          <w:p w14:paraId="7ED7702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 w:rsidR="00344B92" w14:paraId="5EF063DC" w14:textId="77777777">
        <w:trPr>
          <w:jc w:val="center"/>
        </w:trPr>
        <w:tc>
          <w:tcPr>
            <w:tcW w:w="2552" w:type="dxa"/>
            <w:vAlign w:val="center"/>
          </w:tcPr>
          <w:p w14:paraId="4FF17CD2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Immunohistochemistry</w:t>
            </w:r>
          </w:p>
        </w:tc>
        <w:tc>
          <w:tcPr>
            <w:tcW w:w="2410" w:type="dxa"/>
            <w:vAlign w:val="center"/>
          </w:tcPr>
          <w:p w14:paraId="7E4E7487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</w:p>
        </w:tc>
        <w:tc>
          <w:tcPr>
            <w:tcW w:w="1701" w:type="dxa"/>
            <w:vAlign w:val="center"/>
          </w:tcPr>
          <w:p w14:paraId="22D962FE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ZSGB-BIO</w:t>
            </w:r>
          </w:p>
        </w:tc>
        <w:tc>
          <w:tcPr>
            <w:tcW w:w="1417" w:type="dxa"/>
            <w:vAlign w:val="center"/>
          </w:tcPr>
          <w:p w14:paraId="08B77F2C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ZM-0167-3</w:t>
            </w:r>
          </w:p>
        </w:tc>
        <w:tc>
          <w:tcPr>
            <w:tcW w:w="1276" w:type="dxa"/>
            <w:vAlign w:val="center"/>
          </w:tcPr>
          <w:p w14:paraId="029666B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</w:tr>
      <w:tr w:rsidR="00344B92" w14:paraId="5CF15A49" w14:textId="77777777">
        <w:trPr>
          <w:jc w:val="center"/>
        </w:trPr>
        <w:tc>
          <w:tcPr>
            <w:tcW w:w="2552" w:type="dxa"/>
            <w:vAlign w:val="center"/>
          </w:tcPr>
          <w:p w14:paraId="4733CAC9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Immunoprecipitation</w:t>
            </w:r>
          </w:p>
        </w:tc>
        <w:tc>
          <w:tcPr>
            <w:tcW w:w="2410" w:type="dxa"/>
            <w:vAlign w:val="center"/>
          </w:tcPr>
          <w:p w14:paraId="28F76606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1701" w:type="dxa"/>
            <w:vAlign w:val="center"/>
          </w:tcPr>
          <w:p w14:paraId="3611C853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417" w:type="dxa"/>
            <w:vAlign w:val="center"/>
          </w:tcPr>
          <w:p w14:paraId="633EF15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#3900</w:t>
            </w:r>
          </w:p>
        </w:tc>
        <w:tc>
          <w:tcPr>
            <w:tcW w:w="1276" w:type="dxa"/>
            <w:vAlign w:val="center"/>
          </w:tcPr>
          <w:p w14:paraId="00BC901D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</w:t>
            </w:r>
          </w:p>
        </w:tc>
      </w:tr>
      <w:tr w:rsidR="00344B92" w14:paraId="72F9E871" w14:textId="77777777">
        <w:trPr>
          <w:jc w:val="center"/>
        </w:trPr>
        <w:tc>
          <w:tcPr>
            <w:tcW w:w="2552" w:type="dxa"/>
            <w:vAlign w:val="center"/>
          </w:tcPr>
          <w:p w14:paraId="322193BD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Immunoprecipitation</w:t>
            </w:r>
          </w:p>
        </w:tc>
        <w:tc>
          <w:tcPr>
            <w:tcW w:w="2410" w:type="dxa"/>
            <w:vAlign w:val="center"/>
          </w:tcPr>
          <w:p w14:paraId="4D2D8A35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-tag</w:t>
            </w:r>
          </w:p>
        </w:tc>
        <w:tc>
          <w:tcPr>
            <w:tcW w:w="1701" w:type="dxa"/>
            <w:vAlign w:val="center"/>
          </w:tcPr>
          <w:p w14:paraId="671BF735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36E791EF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66008-3-Ig</w:t>
            </w:r>
          </w:p>
        </w:tc>
        <w:tc>
          <w:tcPr>
            <w:tcW w:w="1276" w:type="dxa"/>
            <w:vAlign w:val="center"/>
          </w:tcPr>
          <w:p w14:paraId="6CD643F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</w:tr>
      <w:tr w:rsidR="00344B92" w14:paraId="30CB980E" w14:textId="77777777">
        <w:trPr>
          <w:jc w:val="center"/>
        </w:trPr>
        <w:tc>
          <w:tcPr>
            <w:tcW w:w="2552" w:type="dxa"/>
            <w:vAlign w:val="center"/>
          </w:tcPr>
          <w:p w14:paraId="78571A2E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Immunoprecipitation</w:t>
            </w:r>
          </w:p>
        </w:tc>
        <w:tc>
          <w:tcPr>
            <w:tcW w:w="2410" w:type="dxa"/>
            <w:vAlign w:val="center"/>
          </w:tcPr>
          <w:p w14:paraId="40943C8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yc-tag</w:t>
            </w:r>
          </w:p>
        </w:tc>
        <w:tc>
          <w:tcPr>
            <w:tcW w:w="1701" w:type="dxa"/>
            <w:vAlign w:val="center"/>
          </w:tcPr>
          <w:p w14:paraId="11E34E4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583ED2F5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60003-2-Ig</w:t>
            </w:r>
          </w:p>
        </w:tc>
        <w:tc>
          <w:tcPr>
            <w:tcW w:w="1276" w:type="dxa"/>
            <w:vAlign w:val="center"/>
          </w:tcPr>
          <w:p w14:paraId="7D2FE0AF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</w:t>
            </w:r>
          </w:p>
        </w:tc>
      </w:tr>
      <w:tr w:rsidR="00344B92" w14:paraId="462C7920" w14:textId="77777777">
        <w:trPr>
          <w:jc w:val="center"/>
        </w:trPr>
        <w:tc>
          <w:tcPr>
            <w:tcW w:w="2552" w:type="dxa"/>
            <w:vAlign w:val="center"/>
          </w:tcPr>
          <w:p w14:paraId="0D951BF1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Immunoprecipitation</w:t>
            </w:r>
          </w:p>
        </w:tc>
        <w:tc>
          <w:tcPr>
            <w:tcW w:w="2410" w:type="dxa"/>
            <w:vAlign w:val="center"/>
          </w:tcPr>
          <w:p w14:paraId="2C5DB1A3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HA</w:t>
            </w:r>
          </w:p>
        </w:tc>
        <w:tc>
          <w:tcPr>
            <w:tcW w:w="1701" w:type="dxa"/>
            <w:vAlign w:val="center"/>
          </w:tcPr>
          <w:p w14:paraId="21747FD3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0D5891AE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51064-2-AP</w:t>
            </w:r>
          </w:p>
        </w:tc>
        <w:tc>
          <w:tcPr>
            <w:tcW w:w="1276" w:type="dxa"/>
            <w:vAlign w:val="center"/>
          </w:tcPr>
          <w:p w14:paraId="19D9736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</w:t>
            </w:r>
          </w:p>
        </w:tc>
      </w:tr>
      <w:tr w:rsidR="00344B92" w14:paraId="6F4106E4" w14:textId="77777777">
        <w:trPr>
          <w:jc w:val="center"/>
        </w:trPr>
        <w:tc>
          <w:tcPr>
            <w:tcW w:w="2552" w:type="dxa"/>
            <w:vAlign w:val="center"/>
          </w:tcPr>
          <w:p w14:paraId="332FAA80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Immunoprecipitation</w:t>
            </w:r>
          </w:p>
        </w:tc>
        <w:tc>
          <w:tcPr>
            <w:tcW w:w="2410" w:type="dxa"/>
            <w:vAlign w:val="center"/>
          </w:tcPr>
          <w:p w14:paraId="46ACBD3A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IGF2BP2</w:t>
            </w:r>
          </w:p>
        </w:tc>
        <w:tc>
          <w:tcPr>
            <w:tcW w:w="1701" w:type="dxa"/>
            <w:vAlign w:val="center"/>
          </w:tcPr>
          <w:p w14:paraId="6BE433E8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2CA84351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11601-1-AP</w:t>
            </w:r>
          </w:p>
        </w:tc>
        <w:tc>
          <w:tcPr>
            <w:tcW w:w="1276" w:type="dxa"/>
            <w:vAlign w:val="center"/>
          </w:tcPr>
          <w:p w14:paraId="4E2B53F7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1:50</w:t>
            </w:r>
          </w:p>
        </w:tc>
      </w:tr>
      <w:tr w:rsidR="00344B92" w14:paraId="02E136AA" w14:textId="77777777">
        <w:trPr>
          <w:jc w:val="center"/>
        </w:trPr>
        <w:tc>
          <w:tcPr>
            <w:tcW w:w="2552" w:type="dxa"/>
            <w:vAlign w:val="center"/>
          </w:tcPr>
          <w:p w14:paraId="2CB242B4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Immunofluorescence</w:t>
            </w:r>
          </w:p>
        </w:tc>
        <w:tc>
          <w:tcPr>
            <w:tcW w:w="2410" w:type="dxa"/>
            <w:vAlign w:val="center"/>
          </w:tcPr>
          <w:p w14:paraId="4DB5C03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FLAG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-tag</w:t>
            </w:r>
          </w:p>
        </w:tc>
        <w:tc>
          <w:tcPr>
            <w:tcW w:w="1701" w:type="dxa"/>
            <w:vAlign w:val="center"/>
          </w:tcPr>
          <w:p w14:paraId="509AF89C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64404639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66008-3-Ig</w:t>
            </w:r>
          </w:p>
        </w:tc>
        <w:tc>
          <w:tcPr>
            <w:tcW w:w="1276" w:type="dxa"/>
            <w:vAlign w:val="center"/>
          </w:tcPr>
          <w:p w14:paraId="10D2D279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</w:t>
            </w:r>
          </w:p>
        </w:tc>
      </w:tr>
      <w:tr w:rsidR="00344B92" w14:paraId="13EF921C" w14:textId="77777777">
        <w:trPr>
          <w:jc w:val="center"/>
        </w:trPr>
        <w:tc>
          <w:tcPr>
            <w:tcW w:w="2552" w:type="dxa"/>
            <w:vAlign w:val="center"/>
          </w:tcPr>
          <w:p w14:paraId="14FACEE8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Immunofluorescence</w:t>
            </w:r>
          </w:p>
        </w:tc>
        <w:tc>
          <w:tcPr>
            <w:tcW w:w="2410" w:type="dxa"/>
            <w:vAlign w:val="center"/>
          </w:tcPr>
          <w:p w14:paraId="74E06822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IGF2BP2</w:t>
            </w:r>
          </w:p>
        </w:tc>
        <w:tc>
          <w:tcPr>
            <w:tcW w:w="1701" w:type="dxa"/>
            <w:vAlign w:val="center"/>
          </w:tcPr>
          <w:p w14:paraId="6007C6A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 w14:paraId="255BE615" w14:textId="77777777" w:rsidR="00344B92" w:rsidRDefault="00000000">
            <w:pPr>
              <w:widowControl/>
              <w:spacing w:before="100" w:beforeAutospacing="1" w:after="100" w:afterAutospacing="1" w:line="360" w:lineRule="auto"/>
              <w:jc w:val="center"/>
              <w:outlineLvl w:val="3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11601-1-AP</w:t>
            </w:r>
          </w:p>
        </w:tc>
        <w:tc>
          <w:tcPr>
            <w:tcW w:w="1276" w:type="dxa"/>
            <w:vAlign w:val="center"/>
          </w:tcPr>
          <w:p w14:paraId="5196741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</w:t>
            </w:r>
          </w:p>
        </w:tc>
      </w:tr>
      <w:tr w:rsidR="00344B92" w14:paraId="0F2FD352" w14:textId="77777777">
        <w:trPr>
          <w:jc w:val="center"/>
        </w:trPr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68C4FF28" w14:textId="77777777" w:rsidR="00344B92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Immunofluorescence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87D8A3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BE394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Servicebio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C673D1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G1012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955E49B" w14:textId="77777777" w:rsidR="00344B92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</w:tr>
    </w:tbl>
    <w:p w14:paraId="38CAAF6E" w14:textId="77777777" w:rsidR="00344B92" w:rsidRDefault="00344B92">
      <w:pPr>
        <w:pStyle w:val="pf0"/>
        <w:spacing w:line="360" w:lineRule="auto"/>
        <w:jc w:val="both"/>
        <w:rPr>
          <w:rFonts w:ascii="Times New Roman" w:hAnsi="Times New Roman" w:cs="Times New Roman"/>
        </w:rPr>
      </w:pPr>
    </w:p>
    <w:sectPr w:rsidR="00344B92">
      <w:pgSz w:w="11906" w:h="16838"/>
      <w:pgMar w:top="1440" w:right="1800" w:bottom="1440" w:left="1800" w:header="0" w:footer="284" w:gutter="0"/>
      <w:lnNumType w:countBy="1" w:distance="567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6F93" w14:textId="77777777" w:rsidR="00B60B2D" w:rsidRDefault="00B60B2D" w:rsidP="009661DA">
      <w:pPr>
        <w:rPr>
          <w:rFonts w:hint="eastAsia"/>
        </w:rPr>
      </w:pPr>
      <w:r>
        <w:separator/>
      </w:r>
    </w:p>
  </w:endnote>
  <w:endnote w:type="continuationSeparator" w:id="0">
    <w:p w14:paraId="1AED49E2" w14:textId="77777777" w:rsidR="00B60B2D" w:rsidRDefault="00B60B2D" w:rsidP="009661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92FE" w14:textId="77777777" w:rsidR="00B60B2D" w:rsidRDefault="00B60B2D" w:rsidP="009661DA">
      <w:pPr>
        <w:rPr>
          <w:rFonts w:hint="eastAsia"/>
        </w:rPr>
      </w:pPr>
      <w:r>
        <w:separator/>
      </w:r>
    </w:p>
  </w:footnote>
  <w:footnote w:type="continuationSeparator" w:id="0">
    <w:p w14:paraId="3D40CC40" w14:textId="77777777" w:rsidR="00B60B2D" w:rsidRDefault="00B60B2D" w:rsidP="009661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9DE"/>
    <w:rsid w:val="00001E2B"/>
    <w:rsid w:val="00006D9A"/>
    <w:rsid w:val="00010D0C"/>
    <w:rsid w:val="0001740D"/>
    <w:rsid w:val="00030D62"/>
    <w:rsid w:val="00030E98"/>
    <w:rsid w:val="00063344"/>
    <w:rsid w:val="0009203A"/>
    <w:rsid w:val="000B148C"/>
    <w:rsid w:val="000D6E73"/>
    <w:rsid w:val="000E3517"/>
    <w:rsid w:val="000E794B"/>
    <w:rsid w:val="000F6C84"/>
    <w:rsid w:val="000F74C4"/>
    <w:rsid w:val="00106EC0"/>
    <w:rsid w:val="0011617A"/>
    <w:rsid w:val="00121681"/>
    <w:rsid w:val="001378FD"/>
    <w:rsid w:val="00150A5D"/>
    <w:rsid w:val="00152823"/>
    <w:rsid w:val="00162F4A"/>
    <w:rsid w:val="00163221"/>
    <w:rsid w:val="001661C4"/>
    <w:rsid w:val="00170CA1"/>
    <w:rsid w:val="00172EFA"/>
    <w:rsid w:val="0018546D"/>
    <w:rsid w:val="00187933"/>
    <w:rsid w:val="00191342"/>
    <w:rsid w:val="001A3EA8"/>
    <w:rsid w:val="001C168A"/>
    <w:rsid w:val="001C4FE3"/>
    <w:rsid w:val="001D1F7C"/>
    <w:rsid w:val="001E0DF8"/>
    <w:rsid w:val="001E3E39"/>
    <w:rsid w:val="001F2311"/>
    <w:rsid w:val="001F3336"/>
    <w:rsid w:val="00227581"/>
    <w:rsid w:val="00232589"/>
    <w:rsid w:val="002456C9"/>
    <w:rsid w:val="00250687"/>
    <w:rsid w:val="00253E75"/>
    <w:rsid w:val="0027549E"/>
    <w:rsid w:val="00285FC7"/>
    <w:rsid w:val="0029204F"/>
    <w:rsid w:val="00294C96"/>
    <w:rsid w:val="00296E0B"/>
    <w:rsid w:val="002A76BD"/>
    <w:rsid w:val="002B1EBD"/>
    <w:rsid w:val="002B2EF9"/>
    <w:rsid w:val="002B597E"/>
    <w:rsid w:val="002B6860"/>
    <w:rsid w:val="002C1DB9"/>
    <w:rsid w:val="002C2311"/>
    <w:rsid w:val="002C5DC9"/>
    <w:rsid w:val="002E159C"/>
    <w:rsid w:val="002F0358"/>
    <w:rsid w:val="00312685"/>
    <w:rsid w:val="0032433F"/>
    <w:rsid w:val="003268BF"/>
    <w:rsid w:val="00334B05"/>
    <w:rsid w:val="00344B92"/>
    <w:rsid w:val="0035221F"/>
    <w:rsid w:val="00357883"/>
    <w:rsid w:val="003603A1"/>
    <w:rsid w:val="003651FC"/>
    <w:rsid w:val="003942FD"/>
    <w:rsid w:val="00396304"/>
    <w:rsid w:val="0039722D"/>
    <w:rsid w:val="003A1050"/>
    <w:rsid w:val="003E11FB"/>
    <w:rsid w:val="003E3F5C"/>
    <w:rsid w:val="003F36F1"/>
    <w:rsid w:val="003F4B1C"/>
    <w:rsid w:val="004377FD"/>
    <w:rsid w:val="0045472C"/>
    <w:rsid w:val="0045748D"/>
    <w:rsid w:val="0046100B"/>
    <w:rsid w:val="00480260"/>
    <w:rsid w:val="00484AD5"/>
    <w:rsid w:val="004932D5"/>
    <w:rsid w:val="00493CD5"/>
    <w:rsid w:val="004A186B"/>
    <w:rsid w:val="004B13F4"/>
    <w:rsid w:val="004C6B48"/>
    <w:rsid w:val="004D572F"/>
    <w:rsid w:val="004D7673"/>
    <w:rsid w:val="004E2579"/>
    <w:rsid w:val="004F2FAE"/>
    <w:rsid w:val="004F4A9D"/>
    <w:rsid w:val="00512AE3"/>
    <w:rsid w:val="00523E4B"/>
    <w:rsid w:val="00534975"/>
    <w:rsid w:val="005367E8"/>
    <w:rsid w:val="005375B4"/>
    <w:rsid w:val="0055470B"/>
    <w:rsid w:val="005576F9"/>
    <w:rsid w:val="00567CE8"/>
    <w:rsid w:val="00590662"/>
    <w:rsid w:val="005C1DAA"/>
    <w:rsid w:val="005C1F8A"/>
    <w:rsid w:val="005C4BCD"/>
    <w:rsid w:val="005D3EE5"/>
    <w:rsid w:val="005E41C3"/>
    <w:rsid w:val="005F1747"/>
    <w:rsid w:val="005F2378"/>
    <w:rsid w:val="005F3F80"/>
    <w:rsid w:val="005F6245"/>
    <w:rsid w:val="006139ED"/>
    <w:rsid w:val="00625286"/>
    <w:rsid w:val="0066090F"/>
    <w:rsid w:val="00665016"/>
    <w:rsid w:val="006810B8"/>
    <w:rsid w:val="00684E6C"/>
    <w:rsid w:val="00685BA4"/>
    <w:rsid w:val="00690191"/>
    <w:rsid w:val="006974C3"/>
    <w:rsid w:val="006B39DE"/>
    <w:rsid w:val="006B7F49"/>
    <w:rsid w:val="006C41B4"/>
    <w:rsid w:val="006C6D9E"/>
    <w:rsid w:val="006D1C5C"/>
    <w:rsid w:val="006D2B39"/>
    <w:rsid w:val="006E3CB7"/>
    <w:rsid w:val="006F4D39"/>
    <w:rsid w:val="00701636"/>
    <w:rsid w:val="00702E78"/>
    <w:rsid w:val="00706FD5"/>
    <w:rsid w:val="00711A77"/>
    <w:rsid w:val="00712384"/>
    <w:rsid w:val="00714098"/>
    <w:rsid w:val="00726BA7"/>
    <w:rsid w:val="007456A9"/>
    <w:rsid w:val="00746553"/>
    <w:rsid w:val="00762A36"/>
    <w:rsid w:val="0079387A"/>
    <w:rsid w:val="007A168C"/>
    <w:rsid w:val="007A4E45"/>
    <w:rsid w:val="007A7EB4"/>
    <w:rsid w:val="007D0AAA"/>
    <w:rsid w:val="007E1CA8"/>
    <w:rsid w:val="007F7BC0"/>
    <w:rsid w:val="00804970"/>
    <w:rsid w:val="00813A72"/>
    <w:rsid w:val="008273B8"/>
    <w:rsid w:val="00830470"/>
    <w:rsid w:val="0083394E"/>
    <w:rsid w:val="008345EF"/>
    <w:rsid w:val="008474EA"/>
    <w:rsid w:val="0085534A"/>
    <w:rsid w:val="0085534E"/>
    <w:rsid w:val="00860FEA"/>
    <w:rsid w:val="008650A4"/>
    <w:rsid w:val="00874457"/>
    <w:rsid w:val="00874FAE"/>
    <w:rsid w:val="008843E7"/>
    <w:rsid w:val="0089103C"/>
    <w:rsid w:val="00892C4B"/>
    <w:rsid w:val="00897543"/>
    <w:rsid w:val="008A3B06"/>
    <w:rsid w:val="008A61BF"/>
    <w:rsid w:val="008B4766"/>
    <w:rsid w:val="008B636E"/>
    <w:rsid w:val="008C2960"/>
    <w:rsid w:val="008C7659"/>
    <w:rsid w:val="008D03EC"/>
    <w:rsid w:val="008D3AAB"/>
    <w:rsid w:val="008D5F4A"/>
    <w:rsid w:val="00900BD4"/>
    <w:rsid w:val="00913E5F"/>
    <w:rsid w:val="0092397C"/>
    <w:rsid w:val="0093125C"/>
    <w:rsid w:val="00936B3A"/>
    <w:rsid w:val="00953653"/>
    <w:rsid w:val="00955253"/>
    <w:rsid w:val="009661DA"/>
    <w:rsid w:val="00966E95"/>
    <w:rsid w:val="009745E7"/>
    <w:rsid w:val="009764E1"/>
    <w:rsid w:val="009B2218"/>
    <w:rsid w:val="009B516B"/>
    <w:rsid w:val="009C608E"/>
    <w:rsid w:val="009C743E"/>
    <w:rsid w:val="009E0E5C"/>
    <w:rsid w:val="009F4C0B"/>
    <w:rsid w:val="00A02781"/>
    <w:rsid w:val="00A04C1E"/>
    <w:rsid w:val="00A0754C"/>
    <w:rsid w:val="00A11FA9"/>
    <w:rsid w:val="00A32183"/>
    <w:rsid w:val="00A41162"/>
    <w:rsid w:val="00A4298D"/>
    <w:rsid w:val="00A61193"/>
    <w:rsid w:val="00A72D61"/>
    <w:rsid w:val="00A72D93"/>
    <w:rsid w:val="00A92353"/>
    <w:rsid w:val="00A9537A"/>
    <w:rsid w:val="00AA5658"/>
    <w:rsid w:val="00AB75D4"/>
    <w:rsid w:val="00AC3D86"/>
    <w:rsid w:val="00AD08F8"/>
    <w:rsid w:val="00AE558B"/>
    <w:rsid w:val="00B03C28"/>
    <w:rsid w:val="00B16C2A"/>
    <w:rsid w:val="00B21E7A"/>
    <w:rsid w:val="00B22687"/>
    <w:rsid w:val="00B271E7"/>
    <w:rsid w:val="00B50996"/>
    <w:rsid w:val="00B5188A"/>
    <w:rsid w:val="00B60B2D"/>
    <w:rsid w:val="00B623E2"/>
    <w:rsid w:val="00B71831"/>
    <w:rsid w:val="00B74523"/>
    <w:rsid w:val="00B90722"/>
    <w:rsid w:val="00B91909"/>
    <w:rsid w:val="00BA028A"/>
    <w:rsid w:val="00BA283A"/>
    <w:rsid w:val="00BB6645"/>
    <w:rsid w:val="00BB74F8"/>
    <w:rsid w:val="00BB7588"/>
    <w:rsid w:val="00BC0432"/>
    <w:rsid w:val="00BE22C1"/>
    <w:rsid w:val="00BE4E40"/>
    <w:rsid w:val="00C1174F"/>
    <w:rsid w:val="00C34BA3"/>
    <w:rsid w:val="00C4241B"/>
    <w:rsid w:val="00C4254E"/>
    <w:rsid w:val="00C46199"/>
    <w:rsid w:val="00C50FCC"/>
    <w:rsid w:val="00C62421"/>
    <w:rsid w:val="00C71DD7"/>
    <w:rsid w:val="00C7399D"/>
    <w:rsid w:val="00C7511A"/>
    <w:rsid w:val="00C97FFB"/>
    <w:rsid w:val="00CA2B36"/>
    <w:rsid w:val="00CD0977"/>
    <w:rsid w:val="00CD339F"/>
    <w:rsid w:val="00CE39B2"/>
    <w:rsid w:val="00CE4D0B"/>
    <w:rsid w:val="00CF0EF1"/>
    <w:rsid w:val="00CF2945"/>
    <w:rsid w:val="00D01EB9"/>
    <w:rsid w:val="00D243EB"/>
    <w:rsid w:val="00D27666"/>
    <w:rsid w:val="00D302C5"/>
    <w:rsid w:val="00D5283A"/>
    <w:rsid w:val="00D55418"/>
    <w:rsid w:val="00D55906"/>
    <w:rsid w:val="00D716B6"/>
    <w:rsid w:val="00D74727"/>
    <w:rsid w:val="00D81F35"/>
    <w:rsid w:val="00DA4E39"/>
    <w:rsid w:val="00DB1E72"/>
    <w:rsid w:val="00DC7748"/>
    <w:rsid w:val="00DD33B8"/>
    <w:rsid w:val="00DE04C7"/>
    <w:rsid w:val="00DE1A19"/>
    <w:rsid w:val="00E100E9"/>
    <w:rsid w:val="00E11548"/>
    <w:rsid w:val="00E13A6F"/>
    <w:rsid w:val="00E14623"/>
    <w:rsid w:val="00E20D6E"/>
    <w:rsid w:val="00E24F83"/>
    <w:rsid w:val="00E450BF"/>
    <w:rsid w:val="00E56D34"/>
    <w:rsid w:val="00E60624"/>
    <w:rsid w:val="00E6112A"/>
    <w:rsid w:val="00E7279F"/>
    <w:rsid w:val="00E90644"/>
    <w:rsid w:val="00EA1D0E"/>
    <w:rsid w:val="00EA255E"/>
    <w:rsid w:val="00EC6395"/>
    <w:rsid w:val="00F01D63"/>
    <w:rsid w:val="00F12629"/>
    <w:rsid w:val="00F159A5"/>
    <w:rsid w:val="00F23390"/>
    <w:rsid w:val="00F42633"/>
    <w:rsid w:val="00F45D4C"/>
    <w:rsid w:val="00F6121B"/>
    <w:rsid w:val="00F842DE"/>
    <w:rsid w:val="00F944D7"/>
    <w:rsid w:val="00FA3D5B"/>
    <w:rsid w:val="00FA5DDD"/>
    <w:rsid w:val="00FB31BE"/>
    <w:rsid w:val="00FB4C16"/>
    <w:rsid w:val="00FB6DC5"/>
    <w:rsid w:val="00FC0DF2"/>
    <w:rsid w:val="00FF0CB2"/>
    <w:rsid w:val="00FF1F37"/>
    <w:rsid w:val="00FF543D"/>
    <w:rsid w:val="00FF67DA"/>
    <w:rsid w:val="07AE01F0"/>
    <w:rsid w:val="0F331350"/>
    <w:rsid w:val="104079D1"/>
    <w:rsid w:val="148D32B1"/>
    <w:rsid w:val="15AA1C40"/>
    <w:rsid w:val="17332EE7"/>
    <w:rsid w:val="1A670100"/>
    <w:rsid w:val="213B5E42"/>
    <w:rsid w:val="232F19D7"/>
    <w:rsid w:val="28862099"/>
    <w:rsid w:val="30185CCC"/>
    <w:rsid w:val="38211DDE"/>
    <w:rsid w:val="39F0038E"/>
    <w:rsid w:val="3D8A5FDB"/>
    <w:rsid w:val="45D93CF8"/>
    <w:rsid w:val="585C67EF"/>
    <w:rsid w:val="58C56AF2"/>
    <w:rsid w:val="5B286E5C"/>
    <w:rsid w:val="5F2C07EB"/>
    <w:rsid w:val="5F4C0800"/>
    <w:rsid w:val="62D13DCC"/>
    <w:rsid w:val="6BCC7390"/>
    <w:rsid w:val="6ECF78C3"/>
    <w:rsid w:val="717604C9"/>
    <w:rsid w:val="7249798C"/>
    <w:rsid w:val="72F571CC"/>
    <w:rsid w:val="74B51309"/>
    <w:rsid w:val="7C5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F8731"/>
  <w15:docId w15:val="{DA483454-8235-4552-9E10-7D58AD99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pPr>
      <w:jc w:val="both"/>
    </w:pPr>
    <w:rPr>
      <w:b/>
      <w:bCs/>
      <w:sz w:val="20"/>
      <w:szCs w:val="20"/>
    </w:rPr>
  </w:style>
  <w:style w:type="table" w:styleId="ab">
    <w:name w:val="Table Grid"/>
    <w:basedOn w:val="a1"/>
    <w:uiPriority w:val="59"/>
    <w:qFormat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qFormat/>
    <w:rPr>
      <w:sz w:val="16"/>
      <w:szCs w:val="16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  <w:style w:type="paragraph" w:customStyle="1" w:styleId="pf0">
    <w:name w:val="pf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1"/>
      <w:lang w:val="en-GB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szCs w:val="21"/>
      <w:lang w:val="en-GB"/>
    </w:rPr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  <w:sz w:val="20"/>
      <w:szCs w:val="20"/>
      <w:lang w:val="en-GB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Revision"/>
    <w:hidden/>
    <w:uiPriority w:val="99"/>
    <w:unhideWhenUsed/>
    <w:rsid w:val="0039722D"/>
    <w:rPr>
      <w:kern w:val="2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uangj8@mail.sysu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1205</Words>
  <Characters>7834</Characters>
  <Application>Microsoft Office Word</Application>
  <DocSecurity>0</DocSecurity>
  <Lines>270</Lines>
  <Paragraphs>200</Paragraphs>
  <ScaleCrop>false</ScaleCrop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 cheng</dc:creator>
  <cp:lastModifiedBy>liang cheng</cp:lastModifiedBy>
  <cp:revision>9</cp:revision>
  <dcterms:created xsi:type="dcterms:W3CDTF">2025-11-25T13:32:00Z</dcterms:created>
  <dcterms:modified xsi:type="dcterms:W3CDTF">2026-02-03T08:25:00Z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2025-10-02T11:54:56Z</vt:filetime>
  </property>
  <property fmtid="{D5CDD505-2E9C-101B-9397-08002B2CF9AE}" pid="3" name="KSOTemplateDocerSaveRecord">
    <vt:lpwstr>eyJoZGlkIjoiMDA3MmQxM2MzNDc1OTc4ZGY3ZjI4MDBmNGRmOWRmMzIiLCJ1c2VySWQiOiIzMjg0NTU1NzEifQ==</vt:lpwstr>
  </property>
  <property fmtid="{D5CDD505-2E9C-101B-9397-08002B2CF9AE}" pid="4" name="KSOProductBuildVer">
    <vt:lpwstr>2052-12.1.0.23542</vt:lpwstr>
  </property>
  <property fmtid="{D5CDD505-2E9C-101B-9397-08002B2CF9AE}" pid="5" name="ICV">
    <vt:lpwstr>E609FB46017F4213AB0300D349E343F5_13</vt:lpwstr>
  </property>
</Properties>
</file>